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8" w:type="dxa"/>
        <w:tblLayout w:type="fixed"/>
        <w:tblCellMar>
          <w:left w:w="0" w:type="dxa"/>
          <w:right w:w="0" w:type="dxa"/>
        </w:tblCellMar>
        <w:tblLook w:val="0000" w:firstRow="0" w:lastRow="0" w:firstColumn="0" w:lastColumn="0" w:noHBand="0" w:noVBand="0"/>
      </w:tblPr>
      <w:tblGrid>
        <w:gridCol w:w="1134"/>
        <w:gridCol w:w="6521"/>
        <w:gridCol w:w="2693"/>
      </w:tblGrid>
      <w:tr w:rsidR="00F01E07" w14:paraId="782183F3" w14:textId="77777777" w:rsidTr="00746AF5">
        <w:trPr>
          <w:cantSplit/>
          <w:trHeight w:hRule="exact" w:val="480"/>
        </w:trPr>
        <w:tc>
          <w:tcPr>
            <w:tcW w:w="7655" w:type="dxa"/>
            <w:gridSpan w:val="2"/>
          </w:tcPr>
          <w:p w14:paraId="59E3E08F" w14:textId="51379C0D" w:rsidR="00F01E07" w:rsidRDefault="00F01E07">
            <w:pPr>
              <w:rPr>
                <w:b/>
                <w:bCs/>
              </w:rPr>
            </w:pPr>
            <w:r>
              <w:rPr>
                <w:b/>
              </w:rPr>
              <w:t>PRESS RELEASE</w:t>
            </w:r>
          </w:p>
        </w:tc>
        <w:tc>
          <w:tcPr>
            <w:tcW w:w="2693" w:type="dxa"/>
            <w:vMerge w:val="restart"/>
          </w:tcPr>
          <w:p w14:paraId="162ABFFE" w14:textId="66658E98" w:rsidR="0050117F" w:rsidRPr="00A00D27" w:rsidRDefault="00777458" w:rsidP="0050117F">
            <w:pPr>
              <w:pStyle w:val="Address"/>
              <w:rPr>
                <w:lang w:val="de-DE"/>
              </w:rPr>
            </w:pPr>
            <w:r w:rsidRPr="00A00D27">
              <w:rPr>
                <w:lang w:val="de-DE"/>
              </w:rPr>
              <w:t>Lyoner Straße 18</w:t>
            </w:r>
          </w:p>
          <w:p w14:paraId="01143849" w14:textId="77777777" w:rsidR="0050117F" w:rsidRPr="00A00D27" w:rsidRDefault="0050117F" w:rsidP="0050117F">
            <w:pPr>
              <w:pStyle w:val="Address"/>
              <w:rPr>
                <w:lang w:val="de-DE"/>
              </w:rPr>
            </w:pPr>
            <w:r w:rsidRPr="00A00D27">
              <w:rPr>
                <w:lang w:val="de-DE"/>
              </w:rPr>
              <w:t>60528 Frankfurt am Main</w:t>
            </w:r>
          </w:p>
          <w:p w14:paraId="7FC00728" w14:textId="77777777" w:rsidR="0050117F" w:rsidRPr="00A00D27" w:rsidRDefault="009170BD" w:rsidP="0050117F">
            <w:pPr>
              <w:pStyle w:val="Address"/>
              <w:rPr>
                <w:lang w:val="de-DE"/>
              </w:rPr>
            </w:pPr>
            <w:r w:rsidRPr="00A00D27">
              <w:rPr>
                <w:lang w:val="de-DE"/>
              </w:rPr>
              <w:t>GERMANY</w:t>
            </w:r>
          </w:p>
          <w:p w14:paraId="04DF840B" w14:textId="77777777" w:rsidR="0050117F" w:rsidRPr="00A00D27" w:rsidRDefault="0050117F" w:rsidP="0050117F">
            <w:pPr>
              <w:pStyle w:val="Address"/>
              <w:rPr>
                <w:lang w:val="de-DE"/>
              </w:rPr>
            </w:pPr>
            <w:r w:rsidRPr="00A00D27">
              <w:rPr>
                <w:lang w:val="de-DE"/>
              </w:rPr>
              <w:t>Telefon</w:t>
            </w:r>
            <w:r w:rsidRPr="00A00D27">
              <w:rPr>
                <w:lang w:val="de-DE"/>
              </w:rPr>
              <w:tab/>
              <w:t>+49 69 756081-0</w:t>
            </w:r>
          </w:p>
          <w:p w14:paraId="0DD9586A" w14:textId="77777777" w:rsidR="0050117F" w:rsidRPr="00A00D27" w:rsidRDefault="0050117F" w:rsidP="0050117F">
            <w:pPr>
              <w:pStyle w:val="Address"/>
              <w:rPr>
                <w:lang w:val="de-DE"/>
              </w:rPr>
            </w:pPr>
            <w:r w:rsidRPr="00A00D27">
              <w:rPr>
                <w:lang w:val="de-DE"/>
              </w:rPr>
              <w:t>Telefax</w:t>
            </w:r>
            <w:r w:rsidRPr="00A00D27">
              <w:rPr>
                <w:lang w:val="de-DE"/>
              </w:rPr>
              <w:tab/>
              <w:t>+49 69 756081-11</w:t>
            </w:r>
          </w:p>
          <w:p w14:paraId="662199BF" w14:textId="77777777" w:rsidR="0050117F" w:rsidRPr="00A00D27" w:rsidRDefault="0050117F" w:rsidP="0050117F">
            <w:pPr>
              <w:pStyle w:val="Address"/>
              <w:rPr>
                <w:lang w:val="de-DE"/>
              </w:rPr>
            </w:pPr>
            <w:r w:rsidRPr="00A00D27">
              <w:rPr>
                <w:lang w:val="de-DE"/>
              </w:rPr>
              <w:t>E-Mail</w:t>
            </w:r>
            <w:r w:rsidRPr="00A00D27">
              <w:rPr>
                <w:lang w:val="de-DE"/>
              </w:rPr>
              <w:tab/>
              <w:t>vdw@vdw.de</w:t>
            </w:r>
          </w:p>
          <w:p w14:paraId="781C7E2D" w14:textId="4392ACCD" w:rsidR="00F01E07" w:rsidRDefault="0050117F" w:rsidP="00746AF5">
            <w:pPr>
              <w:pStyle w:val="Address"/>
            </w:pPr>
            <w:r>
              <w:t>Internet</w:t>
            </w:r>
            <w:r>
              <w:tab/>
              <w:t>www.vdw.de</w:t>
            </w:r>
          </w:p>
        </w:tc>
      </w:tr>
      <w:tr w:rsidR="00F01E07" w14:paraId="7CB23FF3" w14:textId="77777777" w:rsidTr="00746AF5">
        <w:trPr>
          <w:cantSplit/>
          <w:trHeight w:val="260"/>
        </w:trPr>
        <w:tc>
          <w:tcPr>
            <w:tcW w:w="1134" w:type="dxa"/>
          </w:tcPr>
          <w:p w14:paraId="38CFE801" w14:textId="77777777" w:rsidR="00F01E07" w:rsidRDefault="00F01E07"/>
        </w:tc>
        <w:tc>
          <w:tcPr>
            <w:tcW w:w="6521" w:type="dxa"/>
          </w:tcPr>
          <w:p w14:paraId="1B044967" w14:textId="77777777" w:rsidR="00F01E07" w:rsidRDefault="00F01E07">
            <w:pPr>
              <w:pStyle w:val="Name"/>
            </w:pPr>
          </w:p>
        </w:tc>
        <w:tc>
          <w:tcPr>
            <w:tcW w:w="2693" w:type="dxa"/>
            <w:vMerge/>
            <w:vAlign w:val="center"/>
          </w:tcPr>
          <w:p w14:paraId="0E80C27F" w14:textId="77777777" w:rsidR="00F01E07" w:rsidRDefault="00F01E07"/>
        </w:tc>
      </w:tr>
      <w:tr w:rsidR="00F01E07" w14:paraId="6E3857CB" w14:textId="77777777" w:rsidTr="00746AF5">
        <w:trPr>
          <w:cantSplit/>
          <w:trHeight w:val="260"/>
        </w:trPr>
        <w:tc>
          <w:tcPr>
            <w:tcW w:w="1134" w:type="dxa"/>
          </w:tcPr>
          <w:p w14:paraId="5D4C47DC" w14:textId="77777777" w:rsidR="00F01E07" w:rsidRDefault="00F01E07"/>
        </w:tc>
        <w:tc>
          <w:tcPr>
            <w:tcW w:w="6521" w:type="dxa"/>
          </w:tcPr>
          <w:p w14:paraId="526DA30E" w14:textId="77777777" w:rsidR="00F01E07" w:rsidRDefault="00F01E07">
            <w:pPr>
              <w:pStyle w:val="Firma"/>
            </w:pPr>
          </w:p>
        </w:tc>
        <w:tc>
          <w:tcPr>
            <w:tcW w:w="2693" w:type="dxa"/>
            <w:vMerge/>
            <w:vAlign w:val="center"/>
          </w:tcPr>
          <w:p w14:paraId="53152BA6" w14:textId="77777777" w:rsidR="00F01E07" w:rsidRDefault="00F01E07"/>
        </w:tc>
      </w:tr>
      <w:tr w:rsidR="00F01E07" w14:paraId="0003EB58" w14:textId="77777777" w:rsidTr="00746AF5">
        <w:trPr>
          <w:cantSplit/>
          <w:trHeight w:val="260"/>
        </w:trPr>
        <w:tc>
          <w:tcPr>
            <w:tcW w:w="1134" w:type="dxa"/>
          </w:tcPr>
          <w:p w14:paraId="028CF472" w14:textId="77777777" w:rsidR="00F01E07" w:rsidRDefault="00F01E07"/>
        </w:tc>
        <w:tc>
          <w:tcPr>
            <w:tcW w:w="6521" w:type="dxa"/>
          </w:tcPr>
          <w:p w14:paraId="748A69E4" w14:textId="77777777" w:rsidR="00F01E07" w:rsidRDefault="00F01E07">
            <w:pPr>
              <w:pStyle w:val="Fax1"/>
              <w:spacing w:line="240" w:lineRule="atLeast"/>
            </w:pPr>
          </w:p>
        </w:tc>
        <w:tc>
          <w:tcPr>
            <w:tcW w:w="2693" w:type="dxa"/>
            <w:vMerge/>
            <w:vAlign w:val="center"/>
          </w:tcPr>
          <w:p w14:paraId="7D0D3DAC" w14:textId="77777777" w:rsidR="00F01E07" w:rsidRDefault="00F01E07"/>
        </w:tc>
      </w:tr>
      <w:tr w:rsidR="00F01E07" w14:paraId="0BE8AA54" w14:textId="77777777" w:rsidTr="00746AF5">
        <w:trPr>
          <w:cantSplit/>
          <w:trHeight w:val="260"/>
        </w:trPr>
        <w:tc>
          <w:tcPr>
            <w:tcW w:w="1134" w:type="dxa"/>
          </w:tcPr>
          <w:p w14:paraId="31684C30" w14:textId="77777777" w:rsidR="00F01E07" w:rsidRDefault="00F01E07"/>
        </w:tc>
        <w:tc>
          <w:tcPr>
            <w:tcW w:w="6521" w:type="dxa"/>
          </w:tcPr>
          <w:p w14:paraId="093F9047" w14:textId="77777777" w:rsidR="00F01E07" w:rsidRDefault="00F01E07"/>
        </w:tc>
        <w:tc>
          <w:tcPr>
            <w:tcW w:w="2693" w:type="dxa"/>
            <w:vMerge/>
            <w:vAlign w:val="center"/>
          </w:tcPr>
          <w:p w14:paraId="668EB5FD" w14:textId="77777777" w:rsidR="00F01E07" w:rsidRDefault="00F01E07"/>
        </w:tc>
      </w:tr>
      <w:tr w:rsidR="00F01E07" w14:paraId="1C50DEF9" w14:textId="77777777" w:rsidTr="00746AF5">
        <w:trPr>
          <w:cantSplit/>
          <w:trHeight w:val="260"/>
        </w:trPr>
        <w:tc>
          <w:tcPr>
            <w:tcW w:w="1134" w:type="dxa"/>
          </w:tcPr>
          <w:p w14:paraId="77DB1A99" w14:textId="1D2CEF0E" w:rsidR="00F01E07" w:rsidRPr="00A00D27" w:rsidRDefault="00877A9E">
            <w:r w:rsidRPr="00A00D27">
              <w:t>From</w:t>
            </w:r>
          </w:p>
        </w:tc>
        <w:tc>
          <w:tcPr>
            <w:tcW w:w="6521" w:type="dxa"/>
          </w:tcPr>
          <w:p w14:paraId="2B9867BA" w14:textId="77777777" w:rsidR="00F01E07" w:rsidRPr="00A00D27" w:rsidRDefault="00F01E07">
            <w:pPr>
              <w:pStyle w:val="Von"/>
              <w:spacing w:line="240" w:lineRule="atLeast"/>
            </w:pPr>
            <w:r w:rsidRPr="00A00D27">
              <w:t>Sylke Becker</w:t>
            </w:r>
          </w:p>
        </w:tc>
        <w:tc>
          <w:tcPr>
            <w:tcW w:w="2693" w:type="dxa"/>
            <w:vMerge/>
            <w:vAlign w:val="center"/>
          </w:tcPr>
          <w:p w14:paraId="10D02610" w14:textId="77777777" w:rsidR="00F01E07" w:rsidRDefault="00F01E07"/>
        </w:tc>
      </w:tr>
      <w:tr w:rsidR="00F01E07" w14:paraId="69F2863A" w14:textId="77777777" w:rsidTr="00746AF5">
        <w:trPr>
          <w:cantSplit/>
          <w:trHeight w:val="260"/>
        </w:trPr>
        <w:tc>
          <w:tcPr>
            <w:tcW w:w="1134" w:type="dxa"/>
          </w:tcPr>
          <w:p w14:paraId="6586C1E8" w14:textId="38EE06D0" w:rsidR="00F01E07" w:rsidRPr="00A00D27" w:rsidRDefault="00877A9E">
            <w:r w:rsidRPr="00A00D27">
              <w:t>Phone</w:t>
            </w:r>
          </w:p>
        </w:tc>
        <w:tc>
          <w:tcPr>
            <w:tcW w:w="6521" w:type="dxa"/>
          </w:tcPr>
          <w:p w14:paraId="7DC9DE1C" w14:textId="77777777" w:rsidR="00F01E07" w:rsidRPr="00A00D27" w:rsidRDefault="00F01E07">
            <w:pPr>
              <w:pStyle w:val="Telefon"/>
            </w:pPr>
            <w:r w:rsidRPr="00A00D27">
              <w:t>+49 69 756081-33</w:t>
            </w:r>
          </w:p>
        </w:tc>
        <w:tc>
          <w:tcPr>
            <w:tcW w:w="2693" w:type="dxa"/>
            <w:vMerge/>
            <w:vAlign w:val="center"/>
          </w:tcPr>
          <w:p w14:paraId="445AC98A" w14:textId="77777777" w:rsidR="00F01E07" w:rsidRDefault="00F01E07"/>
        </w:tc>
      </w:tr>
      <w:tr w:rsidR="00F01E07" w14:paraId="4F6FBB5E" w14:textId="77777777" w:rsidTr="00746AF5">
        <w:trPr>
          <w:cantSplit/>
          <w:trHeight w:val="260"/>
        </w:trPr>
        <w:tc>
          <w:tcPr>
            <w:tcW w:w="1134" w:type="dxa"/>
          </w:tcPr>
          <w:p w14:paraId="28B9CDF2" w14:textId="6B6C625F" w:rsidR="00F01E07" w:rsidRPr="00A00D27" w:rsidRDefault="00F01E07">
            <w:r w:rsidRPr="00A00D27">
              <w:t>Email</w:t>
            </w:r>
          </w:p>
        </w:tc>
        <w:tc>
          <w:tcPr>
            <w:tcW w:w="6521" w:type="dxa"/>
          </w:tcPr>
          <w:p w14:paraId="7B1E8EA8" w14:textId="77777777" w:rsidR="00F01E07" w:rsidRPr="00A00D27" w:rsidRDefault="00F01E07">
            <w:pPr>
              <w:pStyle w:val="Page"/>
            </w:pPr>
            <w:r w:rsidRPr="00A00D27">
              <w:t>s.becker@vdw.de</w:t>
            </w:r>
          </w:p>
        </w:tc>
        <w:tc>
          <w:tcPr>
            <w:tcW w:w="2693" w:type="dxa"/>
            <w:vMerge/>
            <w:vAlign w:val="center"/>
          </w:tcPr>
          <w:p w14:paraId="5E53C9C0" w14:textId="77777777" w:rsidR="00F01E07" w:rsidRDefault="00F01E07"/>
        </w:tc>
      </w:tr>
    </w:tbl>
    <w:p w14:paraId="0C73DF37" w14:textId="77777777" w:rsidR="00F01E07" w:rsidRDefault="00F01E07"/>
    <w:p w14:paraId="54470131" w14:textId="77777777" w:rsidR="00F01E07" w:rsidRDefault="00F01E07"/>
    <w:p w14:paraId="2F8E8B94" w14:textId="1B3D1399" w:rsidR="00064B48" w:rsidRDefault="00064B48" w:rsidP="002C225D">
      <w:pPr>
        <w:tabs>
          <w:tab w:val="left" w:pos="7654"/>
          <w:tab w:val="right" w:pos="8222"/>
        </w:tabs>
        <w:spacing w:line="360" w:lineRule="auto"/>
        <w:ind w:right="1416"/>
        <w:rPr>
          <w:rFonts w:cs="Arial"/>
          <w:b/>
          <w:bCs/>
          <w:sz w:val="28"/>
          <w:szCs w:val="28"/>
        </w:rPr>
      </w:pPr>
      <w:bookmarkStart w:id="0" w:name="Text"/>
      <w:bookmarkEnd w:id="0"/>
      <w:r>
        <w:rPr>
          <w:b/>
          <w:sz w:val="28"/>
        </w:rPr>
        <w:t>Energy transition offers great potential to machine tool industry</w:t>
      </w:r>
    </w:p>
    <w:p w14:paraId="11258C68" w14:textId="4324C570" w:rsidR="001D15FF" w:rsidRPr="001D15FF" w:rsidRDefault="001D15FF" w:rsidP="002C225D">
      <w:pPr>
        <w:tabs>
          <w:tab w:val="left" w:pos="7654"/>
          <w:tab w:val="right" w:pos="8222"/>
        </w:tabs>
        <w:spacing w:line="360" w:lineRule="auto"/>
        <w:ind w:right="1416"/>
        <w:rPr>
          <w:rFonts w:cs="Arial"/>
          <w:b/>
          <w:bCs/>
          <w:szCs w:val="22"/>
        </w:rPr>
      </w:pPr>
      <w:r>
        <w:rPr>
          <w:b/>
        </w:rPr>
        <w:t>Current VDW study calculates above-average growth in global investment up to 2040</w:t>
      </w:r>
    </w:p>
    <w:p w14:paraId="254F2B18" w14:textId="77777777" w:rsidR="00746AF5" w:rsidRPr="007F4969" w:rsidRDefault="00746AF5" w:rsidP="002C225D">
      <w:pPr>
        <w:tabs>
          <w:tab w:val="left" w:pos="7654"/>
          <w:tab w:val="right" w:pos="8222"/>
        </w:tabs>
        <w:spacing w:line="360" w:lineRule="auto"/>
        <w:ind w:right="1416"/>
        <w:rPr>
          <w:rFonts w:cs="Arial"/>
          <w:b/>
          <w:bCs/>
          <w:sz w:val="28"/>
          <w:szCs w:val="28"/>
        </w:rPr>
      </w:pPr>
    </w:p>
    <w:p w14:paraId="2283FCD7" w14:textId="496AD40A" w:rsidR="0081295B" w:rsidRPr="00877A9E" w:rsidRDefault="00064B48" w:rsidP="002C225D">
      <w:pPr>
        <w:tabs>
          <w:tab w:val="left" w:pos="7654"/>
          <w:tab w:val="right" w:pos="8222"/>
        </w:tabs>
        <w:spacing w:line="360" w:lineRule="auto"/>
        <w:ind w:right="1416"/>
        <w:rPr>
          <w:rFonts w:cs="Arial"/>
          <w:szCs w:val="22"/>
        </w:rPr>
      </w:pPr>
      <w:r w:rsidRPr="00A00D27">
        <w:rPr>
          <w:b/>
        </w:rPr>
        <w:t xml:space="preserve">Frankfurt am Main, </w:t>
      </w:r>
      <w:r w:rsidR="00EE03FC">
        <w:rPr>
          <w:b/>
        </w:rPr>
        <w:t>01 April</w:t>
      </w:r>
      <w:r w:rsidRPr="00A00D27">
        <w:rPr>
          <w:b/>
        </w:rPr>
        <w:t xml:space="preserve"> 2022</w:t>
      </w:r>
      <w:r>
        <w:rPr>
          <w:b/>
        </w:rPr>
        <w:t>.</w:t>
      </w:r>
      <w:r>
        <w:t xml:space="preserve"> – Annual global investment in energy-related plant is set to more than double in the future, from EUR 762</w:t>
      </w:r>
      <w:r w:rsidR="00EE03FC">
        <w:t xml:space="preserve"> billion</w:t>
      </w:r>
      <w:r>
        <w:t xml:space="preserve"> in 2020 to EUR 1.8</w:t>
      </w:r>
      <w:r w:rsidR="00EE03FC">
        <w:t>08</w:t>
      </w:r>
      <w:r>
        <w:t xml:space="preserve"> billion in 2040. This represents an annual rise of 4.4 percent in real terms. Th</w:t>
      </w:r>
      <w:r w:rsidR="00EE03FC">
        <w:t>at</w:t>
      </w:r>
      <w:r>
        <w:t xml:space="preserve"> was calculated in a recent study by the VDW (German Machine Tool Builders' Association), Frankfurt am Main, in cooperation with the Munich-based consulting firm Strategy Engineers. As the </w:t>
      </w:r>
      <w:proofErr w:type="gramStart"/>
      <w:r>
        <w:t>researchers</w:t>
      </w:r>
      <w:proofErr w:type="gramEnd"/>
      <w:r>
        <w:t xml:space="preserve"> report, there are a number of promising areas for the machine tool industry. These include the production: of gearboxes and bearings for wind energy, of core components such as compressors, pumps and valves for electrolysis, of fuel cells and of large numbers of heat pumps. </w:t>
      </w:r>
      <w:r>
        <w:rPr>
          <w:color w:val="FF0000"/>
        </w:rPr>
        <w:t xml:space="preserve"> </w:t>
      </w:r>
    </w:p>
    <w:p w14:paraId="4724B3EB" w14:textId="66170CD2" w:rsidR="0081295B" w:rsidRDefault="0081295B" w:rsidP="002C225D">
      <w:pPr>
        <w:tabs>
          <w:tab w:val="left" w:pos="7654"/>
          <w:tab w:val="right" w:pos="8222"/>
        </w:tabs>
        <w:spacing w:line="360" w:lineRule="auto"/>
        <w:ind w:right="1416"/>
        <w:rPr>
          <w:rFonts w:cs="Arial"/>
          <w:szCs w:val="22"/>
        </w:rPr>
      </w:pPr>
    </w:p>
    <w:p w14:paraId="4AE7E20C" w14:textId="460FD203" w:rsidR="00A55989" w:rsidRPr="001D15FF" w:rsidRDefault="0081295B" w:rsidP="002C225D">
      <w:pPr>
        <w:tabs>
          <w:tab w:val="left" w:pos="7654"/>
          <w:tab w:val="right" w:pos="8222"/>
        </w:tabs>
        <w:spacing w:line="360" w:lineRule="auto"/>
        <w:ind w:right="1416"/>
        <w:rPr>
          <w:rFonts w:cs="Arial"/>
          <w:szCs w:val="22"/>
        </w:rPr>
      </w:pPr>
      <w:r>
        <w:t xml:space="preserve">The aim of the study was to examine the opportunities and challenges which are arising for the machine tool industry as a result of the energy transition. The study looks at the entire energy value chain of electricity – from generation via distribution through to storage. Renewable energy has a central role to play here. Also considered are hydrogen, stationary and mobile fuel cells, heat pumps, and carbon recovery and storage. "The German government has declared its intention to speed up the energy transition process – which has significantly raised the pressure. Greater efforts are needed to combat man-made climate change. At the same time, the war in Ukraine is drastically illustrating </w:t>
      </w:r>
      <w:r>
        <w:lastRenderedPageBreak/>
        <w:t xml:space="preserve">how important it is to free ourselves of our dependence on fossil fuels," says Franz-Xaver Bernhard, Chairman of the VDW. "Available exclusively to our members, the study provides timely guidance on how worthwhile it is for machine tool manufacturers to expand their customer base to include the power industry," Bernhard adds.  </w:t>
      </w:r>
    </w:p>
    <w:p w14:paraId="3C7BF41C" w14:textId="77777777" w:rsidR="00A55989" w:rsidRDefault="00A55989" w:rsidP="002C225D">
      <w:pPr>
        <w:tabs>
          <w:tab w:val="left" w:pos="7654"/>
          <w:tab w:val="right" w:pos="8222"/>
        </w:tabs>
        <w:spacing w:line="360" w:lineRule="auto"/>
        <w:ind w:right="1416"/>
        <w:rPr>
          <w:rFonts w:cs="Arial"/>
          <w:sz w:val="28"/>
          <w:szCs w:val="28"/>
        </w:rPr>
      </w:pPr>
    </w:p>
    <w:p w14:paraId="03D39C65" w14:textId="43D088B8" w:rsidR="00A55989" w:rsidRDefault="00AF42E5" w:rsidP="002C225D">
      <w:pPr>
        <w:tabs>
          <w:tab w:val="left" w:pos="7654"/>
          <w:tab w:val="right" w:pos="8222"/>
        </w:tabs>
        <w:spacing w:line="360" w:lineRule="auto"/>
        <w:ind w:right="1416"/>
        <w:rPr>
          <w:rFonts w:cs="Arial"/>
          <w:szCs w:val="22"/>
        </w:rPr>
      </w:pPr>
      <w:r>
        <w:t>The power sector is responsible for a quarter of CO</w:t>
      </w:r>
      <w:r>
        <w:rPr>
          <w:vertAlign w:val="subscript"/>
        </w:rPr>
        <w:t>2</w:t>
      </w:r>
      <w:r>
        <w:t xml:space="preserve"> emissions. It therefore has a major role to play in the reduction of pollutants. Many industrialized countries have committed themselves to the goal of limiting global warming to 1.5 degrees by 2050, but massive investment will be required in order to achieve this. Key solutions include expanding low-emission energy sources, upgrading the power grid and developing a hydrogen economy.  </w:t>
      </w:r>
    </w:p>
    <w:p w14:paraId="176B4165" w14:textId="43AD8F00" w:rsidR="00842C1D" w:rsidRDefault="00842C1D" w:rsidP="002C225D">
      <w:pPr>
        <w:tabs>
          <w:tab w:val="left" w:pos="7654"/>
          <w:tab w:val="right" w:pos="8222"/>
        </w:tabs>
        <w:spacing w:line="360" w:lineRule="auto"/>
        <w:ind w:right="1416"/>
        <w:rPr>
          <w:rFonts w:cs="Arial"/>
          <w:szCs w:val="22"/>
        </w:rPr>
      </w:pPr>
    </w:p>
    <w:p w14:paraId="191620EE" w14:textId="4A221D89" w:rsidR="00186BE6" w:rsidRDefault="00186BE6" w:rsidP="00186BE6">
      <w:pPr>
        <w:tabs>
          <w:tab w:val="left" w:pos="7654"/>
          <w:tab w:val="right" w:pos="8222"/>
        </w:tabs>
        <w:spacing w:line="360" w:lineRule="auto"/>
        <w:ind w:right="1416"/>
        <w:rPr>
          <w:rFonts w:cs="Arial"/>
          <w:szCs w:val="22"/>
        </w:rPr>
      </w:pPr>
      <w:r>
        <w:t>Major investment is therefore being made in zero-emission technologies such as solar and wind power, as well as in enabling technologies for the energy transition, such as power grid expansion, carbon emission reduction (CCUS), the establishment of a hydrogen economy, and heat pumps.</w:t>
      </w:r>
    </w:p>
    <w:p w14:paraId="65C9F7C5" w14:textId="77777777" w:rsidR="009D5098" w:rsidRPr="00186BE6" w:rsidRDefault="009D5098" w:rsidP="00186BE6">
      <w:pPr>
        <w:tabs>
          <w:tab w:val="left" w:pos="7654"/>
          <w:tab w:val="right" w:pos="8222"/>
        </w:tabs>
        <w:spacing w:line="360" w:lineRule="auto"/>
        <w:ind w:right="1416"/>
        <w:rPr>
          <w:rFonts w:cs="Arial"/>
          <w:szCs w:val="22"/>
        </w:rPr>
      </w:pPr>
    </w:p>
    <w:p w14:paraId="00FA17CB" w14:textId="2C3D39F6" w:rsidR="00186BE6" w:rsidRPr="009D5098" w:rsidRDefault="00186BE6" w:rsidP="009D5098">
      <w:pPr>
        <w:pStyle w:val="Listenabsatz"/>
        <w:numPr>
          <w:ilvl w:val="0"/>
          <w:numId w:val="3"/>
        </w:numPr>
        <w:tabs>
          <w:tab w:val="left" w:pos="7654"/>
          <w:tab w:val="right" w:pos="8222"/>
        </w:tabs>
        <w:spacing w:line="360" w:lineRule="auto"/>
        <w:ind w:right="1416"/>
        <w:rPr>
          <w:rFonts w:ascii="Arial" w:hAnsi="Arial" w:cs="Arial"/>
          <w:sz w:val="22"/>
          <w:szCs w:val="22"/>
        </w:rPr>
      </w:pPr>
      <w:r>
        <w:rPr>
          <w:rFonts w:ascii="Arial" w:hAnsi="Arial"/>
          <w:sz w:val="22"/>
        </w:rPr>
        <w:t>The development of renewable energy sources (wind power, solar power, hydropower) currently accounts for EUR 288 billion of investment, a figure which is set to rise to EUR 569 billion by 2040.</w:t>
      </w:r>
    </w:p>
    <w:p w14:paraId="156F653F" w14:textId="3750996A" w:rsidR="00186BE6" w:rsidRPr="009D5098" w:rsidRDefault="00186BE6" w:rsidP="009D5098">
      <w:pPr>
        <w:pStyle w:val="Listenabsatz"/>
        <w:numPr>
          <w:ilvl w:val="0"/>
          <w:numId w:val="3"/>
        </w:numPr>
        <w:tabs>
          <w:tab w:val="left" w:pos="7654"/>
          <w:tab w:val="right" w:pos="8222"/>
        </w:tabs>
        <w:spacing w:line="360" w:lineRule="auto"/>
        <w:ind w:right="1416"/>
        <w:rPr>
          <w:rFonts w:ascii="Arial" w:hAnsi="Arial" w:cs="Arial"/>
          <w:sz w:val="22"/>
          <w:szCs w:val="22"/>
        </w:rPr>
      </w:pPr>
      <w:r>
        <w:rPr>
          <w:rFonts w:ascii="Arial" w:hAnsi="Arial"/>
          <w:sz w:val="22"/>
        </w:rPr>
        <w:t>Investment will need to be made in the future in securing global power supplies in the face of increasing volatility due to the increase in renewable energy sources. As a result, investment in the power grid will rise from around EUR 220 billion at present to more than EUR 600 billion in 2040.</w:t>
      </w:r>
    </w:p>
    <w:p w14:paraId="6D8BD297" w14:textId="1B165D20" w:rsidR="00186BE6" w:rsidRPr="00877A9E" w:rsidRDefault="00186BE6" w:rsidP="009D5098">
      <w:pPr>
        <w:pStyle w:val="Listenabsatz"/>
        <w:numPr>
          <w:ilvl w:val="0"/>
          <w:numId w:val="3"/>
        </w:numPr>
        <w:tabs>
          <w:tab w:val="left" w:pos="7654"/>
          <w:tab w:val="right" w:pos="8222"/>
        </w:tabs>
        <w:spacing w:line="360" w:lineRule="auto"/>
        <w:ind w:right="1416"/>
        <w:rPr>
          <w:rFonts w:ascii="Arial" w:hAnsi="Arial" w:cs="Arial"/>
          <w:sz w:val="22"/>
          <w:szCs w:val="22"/>
        </w:rPr>
      </w:pPr>
      <w:r>
        <w:rPr>
          <w:rFonts w:ascii="Arial" w:hAnsi="Arial"/>
          <w:sz w:val="22"/>
        </w:rPr>
        <w:t>Similarly, major growth is expected in the development of a hydrogen economy and in the expansion of carbon capture/storage technologies, including power-to-X technologies, where the political will to promote the technologies will be crucial.</w:t>
      </w:r>
    </w:p>
    <w:p w14:paraId="42E74C49" w14:textId="23D1102F" w:rsidR="000A2A88" w:rsidRPr="00877A9E" w:rsidRDefault="00186BE6" w:rsidP="009D5098">
      <w:pPr>
        <w:pStyle w:val="Listenabsatz"/>
        <w:numPr>
          <w:ilvl w:val="0"/>
          <w:numId w:val="3"/>
        </w:numPr>
        <w:tabs>
          <w:tab w:val="left" w:pos="7654"/>
          <w:tab w:val="right" w:pos="8222"/>
        </w:tabs>
        <w:spacing w:line="360" w:lineRule="auto"/>
        <w:ind w:right="1416"/>
        <w:rPr>
          <w:rFonts w:ascii="Arial" w:hAnsi="Arial" w:cs="Arial"/>
          <w:sz w:val="22"/>
          <w:szCs w:val="22"/>
        </w:rPr>
      </w:pPr>
      <w:r>
        <w:rPr>
          <w:rFonts w:ascii="Arial" w:hAnsi="Arial"/>
          <w:sz w:val="22"/>
        </w:rPr>
        <w:t xml:space="preserve">There is great demand for “transitional technologies” such as nuclear and gas-fired power plants to ensure base and peak load capability, and an undisputed need for their further development. Investment in these technologies will depend heavily on regional political </w:t>
      </w:r>
      <w:r>
        <w:rPr>
          <w:rFonts w:ascii="Arial" w:hAnsi="Arial"/>
          <w:sz w:val="22"/>
        </w:rPr>
        <w:lastRenderedPageBreak/>
        <w:t xml:space="preserve">developments. There will be a significant worldwide decrease in investment in emissions-intensive technologies such as coal-fired power generation by 2040. </w:t>
      </w:r>
    </w:p>
    <w:p w14:paraId="79970769" w14:textId="77777777" w:rsidR="000A2A88" w:rsidRPr="00A00D27" w:rsidRDefault="000A2A88" w:rsidP="000A2A88">
      <w:pPr>
        <w:pStyle w:val="Listenabsatz"/>
        <w:tabs>
          <w:tab w:val="left" w:pos="7654"/>
          <w:tab w:val="right" w:pos="8222"/>
        </w:tabs>
        <w:spacing w:line="360" w:lineRule="auto"/>
        <w:ind w:right="1416"/>
        <w:rPr>
          <w:rFonts w:ascii="Arial" w:hAnsi="Arial" w:cs="Arial"/>
          <w:sz w:val="22"/>
          <w:szCs w:val="22"/>
          <w:lang w:val="en-GB"/>
        </w:rPr>
      </w:pPr>
    </w:p>
    <w:p w14:paraId="32FFBA00" w14:textId="772BA408" w:rsidR="000A2A88" w:rsidRDefault="00D96FF7" w:rsidP="000A2A88">
      <w:pPr>
        <w:tabs>
          <w:tab w:val="left" w:pos="7654"/>
          <w:tab w:val="right" w:pos="8222"/>
        </w:tabs>
        <w:spacing w:line="360" w:lineRule="auto"/>
        <w:ind w:right="1416"/>
        <w:rPr>
          <w:rFonts w:cs="Arial"/>
          <w:szCs w:val="22"/>
        </w:rPr>
      </w:pPr>
      <w:r>
        <w:t xml:space="preserve">"But that's not all; the variety of applications and technologies makes it necessary to consider the individual areas in detail in order to identify the potential areas of machine tool use," explains Bernhard. The VDW study does this by analyzing the demand for the machine tools needed to machine the relevant components in the individual segments. Metal components which involve a high degree of machining and have exacting tolerances and surface quality demands are required especially for mechanical conversion in gas, steam and water power plants as well as in wind turbines and flywheel storage systems. </w:t>
      </w:r>
    </w:p>
    <w:p w14:paraId="7456E6B5" w14:textId="77777777" w:rsidR="000A2A88" w:rsidRDefault="000A2A88" w:rsidP="000A2A88">
      <w:pPr>
        <w:tabs>
          <w:tab w:val="left" w:pos="7654"/>
          <w:tab w:val="right" w:pos="8222"/>
        </w:tabs>
        <w:spacing w:line="360" w:lineRule="auto"/>
        <w:ind w:right="1416"/>
        <w:rPr>
          <w:rFonts w:cs="Arial"/>
          <w:szCs w:val="22"/>
        </w:rPr>
      </w:pPr>
    </w:p>
    <w:p w14:paraId="4E395184" w14:textId="178F6D0A" w:rsidR="009D5098" w:rsidRPr="000A2A88" w:rsidRDefault="002139DB" w:rsidP="000A2A88">
      <w:pPr>
        <w:tabs>
          <w:tab w:val="left" w:pos="7654"/>
          <w:tab w:val="right" w:pos="8222"/>
        </w:tabs>
        <w:spacing w:line="360" w:lineRule="auto"/>
        <w:ind w:right="1416"/>
        <w:rPr>
          <w:rFonts w:cs="Arial"/>
          <w:szCs w:val="22"/>
        </w:rPr>
      </w:pPr>
      <w:r>
        <w:t xml:space="preserve">Accordingly, the greatest potential is offered by wind turbines components which involve sophisticated gearbox, tracking system and large-bearing production processes. This is further reinforced by the trend towards ever more powerful plants. Also relevant is the construction of gas turbines for power generation in gas and steam power plants. Finally, high volumes of many overlapping peripheral components (such as pumps, compressors, generators, bearings, valves, tanks and pipes) are required. </w:t>
      </w:r>
    </w:p>
    <w:p w14:paraId="79B64809" w14:textId="77777777" w:rsidR="009D5098" w:rsidRPr="009D5098" w:rsidRDefault="009D5098" w:rsidP="002C225D">
      <w:pPr>
        <w:tabs>
          <w:tab w:val="left" w:pos="7654"/>
          <w:tab w:val="right" w:pos="8222"/>
        </w:tabs>
        <w:spacing w:line="360" w:lineRule="auto"/>
        <w:ind w:right="1416"/>
        <w:rPr>
          <w:rFonts w:cs="Arial"/>
          <w:szCs w:val="22"/>
        </w:rPr>
      </w:pPr>
    </w:p>
    <w:p w14:paraId="00C6BFEA" w14:textId="19DF3B70" w:rsidR="00CE29BC" w:rsidRDefault="00F9593D" w:rsidP="002C225D">
      <w:pPr>
        <w:tabs>
          <w:tab w:val="left" w:pos="7654"/>
          <w:tab w:val="right" w:pos="8222"/>
        </w:tabs>
        <w:spacing w:line="360" w:lineRule="auto"/>
        <w:ind w:right="1416"/>
        <w:rPr>
          <w:rFonts w:cs="Arial"/>
          <w:szCs w:val="22"/>
        </w:rPr>
      </w:pPr>
      <w:r>
        <w:t xml:space="preserve">Heat pumps used for heating buildings are of particular interest on account of the large volumes involved. In the future, the focus will shift to components for the expansion of the hydrogen economy such as compressors and stack end plates for electrolysis, and mobile and stationary fuel cells. Beyond the generation, storage and distribution of power itself, potential also lies in automation technology for the production of photovoltaic modules, battery cells and fuel or electrolysis stacks. Energy distribution requirements, for example in transport vehicles or special ships, as well as machines for the production of components for the implementation of the energy turnaround complete the demand.  </w:t>
      </w:r>
    </w:p>
    <w:p w14:paraId="55BC7CEC" w14:textId="3B1146A5" w:rsidR="008F275B" w:rsidRDefault="008F275B" w:rsidP="002C225D">
      <w:pPr>
        <w:tabs>
          <w:tab w:val="left" w:pos="7654"/>
          <w:tab w:val="right" w:pos="8222"/>
        </w:tabs>
        <w:spacing w:line="360" w:lineRule="auto"/>
        <w:ind w:right="1416"/>
        <w:rPr>
          <w:rFonts w:cs="Arial"/>
          <w:szCs w:val="22"/>
        </w:rPr>
      </w:pPr>
    </w:p>
    <w:p w14:paraId="20D00AC6" w14:textId="47D6FAEB" w:rsidR="008F275B" w:rsidRDefault="007701EE" w:rsidP="002C225D">
      <w:pPr>
        <w:tabs>
          <w:tab w:val="left" w:pos="7654"/>
          <w:tab w:val="right" w:pos="8222"/>
        </w:tabs>
        <w:spacing w:line="360" w:lineRule="auto"/>
        <w:ind w:right="1416"/>
        <w:rPr>
          <w:rFonts w:cs="Arial"/>
          <w:szCs w:val="22"/>
        </w:rPr>
      </w:pPr>
      <w:r>
        <w:t xml:space="preserve">Overall, the energy sector does not currently feature strongly in machine tool sales. However, the projected 3.6 percent real growth per year of the relevant market segment until 2040 is significantly above the average longer-term </w:t>
      </w:r>
      <w:r>
        <w:lastRenderedPageBreak/>
        <w:t xml:space="preserve">global market growth for machine tools (1.1 percent). "The study shows that the considerable growth predicted for the power industry up to 2040 offers clear potential for manufacturers," VDW Chairman Bernhard sums up. "It is especially worthwhile for companies that are already active in the power industry and/or are looking to diversify their customer base to consider the study results carefully. They provide valuable information that is not available anywhere else at this level of detail," he concludes.  </w:t>
      </w:r>
    </w:p>
    <w:p w14:paraId="7FA67423" w14:textId="10AD85E3" w:rsidR="00CE29BC" w:rsidRDefault="00CE29BC" w:rsidP="002C225D">
      <w:pPr>
        <w:tabs>
          <w:tab w:val="left" w:pos="7654"/>
          <w:tab w:val="right" w:pos="8222"/>
        </w:tabs>
        <w:spacing w:line="360" w:lineRule="auto"/>
        <w:ind w:right="1416"/>
        <w:rPr>
          <w:rFonts w:cs="Arial"/>
          <w:szCs w:val="22"/>
        </w:rPr>
      </w:pPr>
    </w:p>
    <w:p w14:paraId="4DC3C6C8" w14:textId="77777777" w:rsidR="00D65059" w:rsidRPr="00A00D27" w:rsidRDefault="00D65059" w:rsidP="00D65059">
      <w:pPr>
        <w:pStyle w:val="Textkrper2"/>
        <w:tabs>
          <w:tab w:val="left" w:pos="7654"/>
        </w:tabs>
        <w:ind w:right="1416"/>
        <w:rPr>
          <w:b/>
          <w:sz w:val="16"/>
          <w:szCs w:val="16"/>
        </w:rPr>
      </w:pPr>
      <w:r w:rsidRPr="00A00D27">
        <w:rPr>
          <w:b/>
          <w:sz w:val="16"/>
        </w:rPr>
        <w:t>Background</w:t>
      </w:r>
    </w:p>
    <w:p w14:paraId="03E5D067" w14:textId="6AADB2DB" w:rsidR="009F7AC8" w:rsidRPr="00A00D27" w:rsidRDefault="00D65059" w:rsidP="00D65059">
      <w:pPr>
        <w:tabs>
          <w:tab w:val="left" w:pos="7654"/>
        </w:tabs>
        <w:spacing w:line="240" w:lineRule="auto"/>
        <w:ind w:right="1418"/>
        <w:rPr>
          <w:rFonts w:cs="Arial"/>
          <w:sz w:val="16"/>
          <w:szCs w:val="16"/>
        </w:rPr>
      </w:pPr>
      <w:r w:rsidRPr="00A00D27">
        <w:rPr>
          <w:sz w:val="16"/>
        </w:rPr>
        <w:t>The German machine tool industry ranks among the five largest specialist groupings in the mechanical engineering sector. It provides production technology for metalworking applications in all branches of industry, and makes a crucial contribution towards innovation and enhanced productivity in the industrial sector as a whole. Due to its absolutely key role for industrial production, its development is an important indicator for the economic dynamism of the industrial sector as such. In 2021, with an average of 64,500 employees (firms with more than 50 staff), the sector produced machines and services worth around 12.7 billion euros</w:t>
      </w:r>
    </w:p>
    <w:p w14:paraId="2278B106" w14:textId="77777777" w:rsidR="009F7AC8" w:rsidRPr="00A00D27" w:rsidRDefault="009F7AC8" w:rsidP="009F7AC8">
      <w:pPr>
        <w:spacing w:line="240" w:lineRule="auto"/>
        <w:rPr>
          <w:lang w:val="en-GB"/>
        </w:rPr>
      </w:pPr>
    </w:p>
    <w:p w14:paraId="0B2BF01A" w14:textId="795D7266" w:rsidR="009F7AC8" w:rsidRPr="00A00D27" w:rsidRDefault="00D65059" w:rsidP="009F7AC8">
      <w:pPr>
        <w:spacing w:line="240" w:lineRule="auto"/>
      </w:pPr>
      <w:r w:rsidRPr="00A00D27">
        <w:t>Picture:</w:t>
      </w:r>
    </w:p>
    <w:p w14:paraId="2FA6BC69" w14:textId="451AAEC1" w:rsidR="009F7AC8" w:rsidRPr="00A00D27" w:rsidRDefault="005F60CE" w:rsidP="009F7AC8">
      <w:pPr>
        <w:spacing w:line="360" w:lineRule="auto"/>
        <w:ind w:right="1416"/>
      </w:pPr>
      <w:r w:rsidRPr="00A00D27">
        <w:t>Franz-Xaver Bernhard, Chairman of the VDW (German Machine Tool Builders’ Association), Frankfurt am Main</w:t>
      </w:r>
    </w:p>
    <w:p w14:paraId="2900001C" w14:textId="77777777" w:rsidR="007B5569" w:rsidRPr="00A00D27" w:rsidRDefault="007B5569" w:rsidP="009F7AC8">
      <w:pPr>
        <w:rPr>
          <w:lang w:val="en-GB"/>
        </w:rPr>
      </w:pPr>
    </w:p>
    <w:p w14:paraId="02E8CCD4" w14:textId="0FD19532" w:rsidR="009F7AC8" w:rsidRPr="00A00D27" w:rsidRDefault="00D65059" w:rsidP="009F7AC8">
      <w:pPr>
        <w:rPr>
          <w:rFonts w:cs="Arial"/>
        </w:rPr>
      </w:pPr>
      <w:r w:rsidRPr="00A00D27">
        <w:t>You can also obtain this press release directly at Link.</w:t>
      </w:r>
    </w:p>
    <w:p w14:paraId="0D5B67FD" w14:textId="77777777" w:rsidR="001C5959" w:rsidRPr="00A00D27" w:rsidRDefault="001C5959" w:rsidP="009F7AC8">
      <w:pPr>
        <w:rPr>
          <w:rFonts w:cs="Arial"/>
          <w:lang w:val="en-GB"/>
        </w:rPr>
      </w:pPr>
    </w:p>
    <w:p w14:paraId="380681FC" w14:textId="77777777" w:rsidR="009F7AC8" w:rsidRPr="00A00D27" w:rsidRDefault="009F7AC8" w:rsidP="009F7AC8">
      <w:pPr>
        <w:rPr>
          <w:lang w:val="en-GB"/>
        </w:rPr>
      </w:pPr>
    </w:p>
    <w:p w14:paraId="6CB57764" w14:textId="40156839" w:rsidR="009F7AC8" w:rsidRPr="00D65059" w:rsidRDefault="00D65059" w:rsidP="009F7AC8">
      <w:pPr>
        <w:spacing w:line="360" w:lineRule="auto"/>
        <w:ind w:right="1416"/>
      </w:pPr>
      <w:r w:rsidRPr="00A00D27">
        <w:t xml:space="preserve">You will also find graphics and pictures online under </w:t>
      </w:r>
      <w:hyperlink r:id="rId10" w:history="1">
        <w:r w:rsidRPr="00A00D27">
          <w:rPr>
            <w:rStyle w:val="Hyperlink"/>
          </w:rPr>
          <w:t>www.vdw.de</w:t>
        </w:r>
      </w:hyperlink>
      <w:r w:rsidRPr="00A00D27">
        <w:t xml:space="preserve"> in the Press section. You can also visit the VDW on our social media channels</w:t>
      </w:r>
      <w:r>
        <w:t xml:space="preserve"> </w:t>
      </w:r>
    </w:p>
    <w:p w14:paraId="08B215D1" w14:textId="77777777" w:rsidR="009F7AC8" w:rsidRPr="00D65059" w:rsidRDefault="009F7AC8" w:rsidP="009F7AC8">
      <w:pPr>
        <w:spacing w:line="360" w:lineRule="auto"/>
        <w:ind w:right="1416"/>
        <w:rPr>
          <w:lang w:val="en-GB"/>
        </w:rPr>
      </w:pPr>
    </w:p>
    <w:p w14:paraId="32FBA85A" w14:textId="104C195E" w:rsidR="009F7AC8" w:rsidRPr="00CB482F" w:rsidRDefault="009F7AC8" w:rsidP="009F7AC8">
      <w:pPr>
        <w:spacing w:line="360" w:lineRule="auto"/>
        <w:ind w:right="1416"/>
      </w:pPr>
      <w:r>
        <w:rPr>
          <w:i/>
          <w:noProof/>
          <w:color w:val="0070C0"/>
        </w:rPr>
        <w:drawing>
          <wp:inline distT="0" distB="0" distL="0" distR="0" wp14:anchorId="6833DBD1" wp14:editId="2884CC86">
            <wp:extent cx="281940" cy="274320"/>
            <wp:effectExtent l="0" t="0" r="3810" b="0"/>
            <wp:docPr id="4" name="Grafik 4" descr="socialmedia-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socialmedia-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 cy="274320"/>
                    </a:xfrm>
                    <a:prstGeom prst="rect">
                      <a:avLst/>
                    </a:prstGeom>
                    <a:noFill/>
                    <a:ln>
                      <a:noFill/>
                    </a:ln>
                  </pic:spPr>
                </pic:pic>
              </a:graphicData>
            </a:graphic>
          </wp:inline>
        </w:drawing>
      </w:r>
      <w:r>
        <w:rPr>
          <w:i/>
          <w:color w:val="0070C0"/>
        </w:rPr>
        <w:tab/>
      </w:r>
      <w:r>
        <w:rPr>
          <w:i/>
          <w:color w:val="0070C0"/>
        </w:rPr>
        <w:tab/>
      </w:r>
      <w:hyperlink r:id="rId12" w:history="1">
        <w:r>
          <w:rPr>
            <w:color w:val="0000FF" w:themeColor="hyperlink"/>
            <w:u w:val="single"/>
          </w:rPr>
          <w:t>www.</w:t>
        </w:r>
        <w:r>
          <w:rPr>
            <w:i/>
            <w:color w:val="0000FF" w:themeColor="hyperlink"/>
            <w:u w:val="single"/>
          </w:rPr>
          <w:t>de.industryarena.com/vdw</w:t>
        </w:r>
      </w:hyperlink>
    </w:p>
    <w:p w14:paraId="7B764BB9" w14:textId="5275E9A3" w:rsidR="009F7AC8" w:rsidRPr="00CB482F" w:rsidRDefault="009F7AC8" w:rsidP="009F7AC8">
      <w:pPr>
        <w:autoSpaceDE w:val="0"/>
        <w:autoSpaceDN w:val="0"/>
        <w:adjustRightInd w:val="0"/>
        <w:spacing w:line="240" w:lineRule="auto"/>
        <w:ind w:right="1416"/>
        <w:rPr>
          <w:rFonts w:eastAsia="Calibri"/>
          <w:color w:val="0000FF" w:themeColor="hyperlink"/>
          <w:u w:val="single"/>
        </w:rPr>
      </w:pPr>
      <w:r>
        <w:rPr>
          <w:i/>
          <w:noProof/>
          <w:color w:val="0070C0"/>
        </w:rPr>
        <w:drawing>
          <wp:inline distT="0" distB="0" distL="0" distR="0" wp14:anchorId="09A7043A" wp14:editId="6759ECD9">
            <wp:extent cx="281940" cy="281940"/>
            <wp:effectExtent l="0" t="0" r="381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i/>
          <w:color w:val="0070C0"/>
        </w:rPr>
        <w:tab/>
      </w:r>
      <w:r>
        <w:rPr>
          <w:i/>
          <w:color w:val="0070C0"/>
        </w:rPr>
        <w:tab/>
      </w:r>
      <w:hyperlink r:id="rId14" w:history="1">
        <w:r>
          <w:rPr>
            <w:i/>
            <w:color w:val="0000FF" w:themeColor="hyperlink"/>
            <w:u w:val="single"/>
          </w:rPr>
          <w:t>www.youtube.com/metaltradefair</w:t>
        </w:r>
      </w:hyperlink>
    </w:p>
    <w:p w14:paraId="0443FFE8" w14:textId="1090FECA" w:rsidR="009F7AC8" w:rsidRPr="00CB482F" w:rsidRDefault="009F7AC8" w:rsidP="009F7AC8">
      <w:pPr>
        <w:autoSpaceDE w:val="0"/>
        <w:autoSpaceDN w:val="0"/>
        <w:adjustRightInd w:val="0"/>
        <w:spacing w:line="240" w:lineRule="auto"/>
        <w:ind w:right="1416"/>
        <w:rPr>
          <w:rFonts w:cs="Arial"/>
          <w:i/>
          <w:iCs/>
          <w:color w:val="0000FF" w:themeColor="hyperlink"/>
          <w:kern w:val="0"/>
          <w:szCs w:val="22"/>
          <w:u w:val="single"/>
        </w:rPr>
      </w:pPr>
      <w:r>
        <w:rPr>
          <w:rFonts w:ascii="Tms Rmn" w:hAnsi="Tms Rmn"/>
          <w:noProof/>
          <w:sz w:val="24"/>
        </w:rPr>
        <w:drawing>
          <wp:inline distT="0" distB="0" distL="0" distR="0" wp14:anchorId="7FE0417B" wp14:editId="593D072A">
            <wp:extent cx="358140" cy="358140"/>
            <wp:effectExtent l="0" t="0" r="3810" b="381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Pr>
          <w:color w:val="000000"/>
        </w:rPr>
        <w:tab/>
      </w:r>
      <w:r>
        <w:rPr>
          <w:color w:val="000000"/>
        </w:rPr>
        <w:tab/>
      </w:r>
      <w:hyperlink r:id="rId16" w:history="1">
        <w:r>
          <w:rPr>
            <w:i/>
            <w:color w:val="0000FF" w:themeColor="hyperlink"/>
            <w:u w:val="single"/>
          </w:rPr>
          <w:t>www.twitter.com/VDWonline</w:t>
        </w:r>
      </w:hyperlink>
    </w:p>
    <w:p w14:paraId="3FBD18F6" w14:textId="258B466E" w:rsidR="009F7AC8" w:rsidRDefault="009F7AC8" w:rsidP="009F7AC8">
      <w:pPr>
        <w:autoSpaceDE w:val="0"/>
        <w:autoSpaceDN w:val="0"/>
        <w:adjustRightInd w:val="0"/>
        <w:spacing w:line="240" w:lineRule="auto"/>
      </w:pPr>
      <w:r>
        <w:rPr>
          <w:rFonts w:ascii="Effra" w:hAnsi="Effra"/>
          <w:noProof/>
        </w:rPr>
        <w:drawing>
          <wp:inline distT="0" distB="0" distL="0" distR="0" wp14:anchorId="1548BD4A" wp14:editId="229269FF">
            <wp:extent cx="274320" cy="274320"/>
            <wp:effectExtent l="0" t="0" r="0" b="0"/>
            <wp:docPr id="5" name="Grafik 5"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ClipArt enthält.&#10;&#10;Automatisch generierte Beschreibu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Pr>
          <w:rFonts w:ascii="Effra" w:hAnsi="Effra"/>
        </w:rPr>
        <w:tab/>
      </w:r>
      <w:r>
        <w:rPr>
          <w:rFonts w:ascii="Effra" w:hAnsi="Effra"/>
        </w:rPr>
        <w:tab/>
      </w:r>
      <w:hyperlink r:id="rId18" w:history="1">
        <w:r>
          <w:rPr>
            <w:i/>
            <w:color w:val="0000FF" w:themeColor="hyperlink"/>
            <w:u w:val="single"/>
          </w:rPr>
          <w:t>www.linkedin.com/company/</w:t>
        </w:r>
      </w:hyperlink>
      <w:r>
        <w:rPr>
          <w:i/>
          <w:color w:val="0000FF"/>
          <w:u w:val="single"/>
        </w:rPr>
        <w:t>vdw-frankfurt</w:t>
      </w:r>
    </w:p>
    <w:sectPr w:rsidR="009F7AC8" w:rsidSect="00CB5C29">
      <w:headerReference w:type="default" r:id="rId19"/>
      <w:footerReference w:type="default" r:id="rId20"/>
      <w:headerReference w:type="first" r:id="rId21"/>
      <w:footerReference w:type="first" r:id="rId22"/>
      <w:type w:val="continuous"/>
      <w:pgSz w:w="11907" w:h="16840" w:code="9"/>
      <w:pgMar w:top="-2665" w:right="1418" w:bottom="1134" w:left="1418" w:header="737" w:footer="56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DD18E" w14:textId="77777777" w:rsidR="0042443D" w:rsidRDefault="0042443D">
      <w:r>
        <w:separator/>
      </w:r>
    </w:p>
  </w:endnote>
  <w:endnote w:type="continuationSeparator" w:id="0">
    <w:p w14:paraId="1889C3FF" w14:textId="77777777" w:rsidR="0042443D" w:rsidRDefault="00424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Effra">
    <w:panose1 w:val="02000506080000020004"/>
    <w:charset w:val="00"/>
    <w:family w:val="auto"/>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F545" w14:textId="77777777" w:rsidR="00F01E07" w:rsidRDefault="00F01E07">
    <w:pPr>
      <w:pStyle w:val="Fuzeile"/>
      <w:spacing w:line="20" w:lineRule="exac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2231E" w14:textId="77777777" w:rsidR="0050117F" w:rsidRDefault="0050117F" w:rsidP="0050117F">
    <w:pPr>
      <w:pStyle w:val="Fuzeile"/>
    </w:pPr>
  </w:p>
  <w:tbl>
    <w:tblPr>
      <w:tblW w:w="9866" w:type="dxa"/>
      <w:tblInd w:w="8" w:type="dxa"/>
      <w:tblLayout w:type="fixed"/>
      <w:tblCellMar>
        <w:left w:w="0" w:type="dxa"/>
        <w:right w:w="0" w:type="dxa"/>
      </w:tblCellMar>
      <w:tblLook w:val="0000" w:firstRow="0" w:lastRow="0" w:firstColumn="0" w:lastColumn="0" w:noHBand="0" w:noVBand="0"/>
    </w:tblPr>
    <w:tblGrid>
      <w:gridCol w:w="2442"/>
      <w:gridCol w:w="2548"/>
      <w:gridCol w:w="2799"/>
      <w:gridCol w:w="2077"/>
    </w:tblGrid>
    <w:tr w:rsidR="0050117F" w:rsidRPr="003D7466" w14:paraId="4ED1515C" w14:textId="77777777">
      <w:tc>
        <w:tcPr>
          <w:tcW w:w="2442" w:type="dxa"/>
        </w:tcPr>
        <w:p w14:paraId="05A9F84A" w14:textId="77777777" w:rsidR="0050117F" w:rsidRPr="00A00D27" w:rsidRDefault="0050117F" w:rsidP="001835F7">
          <w:pPr>
            <w:pStyle w:val="FZ"/>
            <w:rPr>
              <w:lang w:val="de-DE"/>
            </w:rPr>
          </w:pPr>
          <w:r w:rsidRPr="00A00D27">
            <w:rPr>
              <w:lang w:val="de-DE"/>
            </w:rPr>
            <w:t>Verein Deutscher</w:t>
          </w:r>
        </w:p>
        <w:p w14:paraId="64A6DFCF" w14:textId="77777777" w:rsidR="0050117F" w:rsidRPr="00A00D27" w:rsidRDefault="0050117F" w:rsidP="001835F7">
          <w:pPr>
            <w:pStyle w:val="FZ"/>
            <w:rPr>
              <w:lang w:val="de-DE"/>
            </w:rPr>
          </w:pPr>
          <w:r w:rsidRPr="00A00D27">
            <w:rPr>
              <w:lang w:val="de-DE"/>
            </w:rPr>
            <w:t>Werkzeugmaschinenfabriken e.V.</w:t>
          </w:r>
        </w:p>
        <w:p w14:paraId="70E4F97D" w14:textId="77777777" w:rsidR="0050117F" w:rsidRPr="00A00D27" w:rsidRDefault="0050117F" w:rsidP="001835F7">
          <w:pPr>
            <w:pStyle w:val="FZ"/>
            <w:rPr>
              <w:lang w:val="de-DE"/>
            </w:rPr>
          </w:pPr>
        </w:p>
      </w:tc>
      <w:tc>
        <w:tcPr>
          <w:tcW w:w="2548" w:type="dxa"/>
        </w:tcPr>
        <w:p w14:paraId="1B4422D4" w14:textId="77777777" w:rsidR="0050117F" w:rsidRPr="00A00D27" w:rsidRDefault="0050117F" w:rsidP="001835F7">
          <w:pPr>
            <w:pStyle w:val="FZ"/>
            <w:rPr>
              <w:lang w:val="de-DE"/>
            </w:rPr>
          </w:pPr>
          <w:r w:rsidRPr="00A00D27">
            <w:rPr>
              <w:lang w:val="de-DE"/>
            </w:rPr>
            <w:t>Vorsitzender/Chairman:</w:t>
          </w:r>
        </w:p>
        <w:p w14:paraId="1FF8E095" w14:textId="1785B1E4" w:rsidR="0050117F" w:rsidRPr="00A00D27" w:rsidRDefault="00921790" w:rsidP="001835F7">
          <w:pPr>
            <w:pStyle w:val="FZ"/>
            <w:rPr>
              <w:lang w:val="de-DE"/>
            </w:rPr>
          </w:pPr>
          <w:r w:rsidRPr="00A00D27">
            <w:rPr>
              <w:lang w:val="de-DE"/>
            </w:rPr>
            <w:t>Franz-Xaver Bernhard</w:t>
          </w:r>
        </w:p>
        <w:p w14:paraId="29CC6522" w14:textId="77777777" w:rsidR="0050117F" w:rsidRPr="00A00D27" w:rsidRDefault="0050117F" w:rsidP="001835F7">
          <w:pPr>
            <w:pStyle w:val="FZ"/>
            <w:rPr>
              <w:lang w:val="de-DE"/>
            </w:rPr>
          </w:pPr>
          <w:r w:rsidRPr="00A00D27">
            <w:rPr>
              <w:lang w:val="de-DE"/>
            </w:rPr>
            <w:t>Geschäftsführer/Executive Director:</w:t>
          </w:r>
        </w:p>
        <w:p w14:paraId="21509B40" w14:textId="77777777" w:rsidR="0050117F" w:rsidRDefault="0050117F" w:rsidP="001835F7">
          <w:pPr>
            <w:pStyle w:val="FZ"/>
          </w:pPr>
          <w:r>
            <w:t>Dr.-Ing. Wilfried Schäfer</w:t>
          </w:r>
        </w:p>
      </w:tc>
      <w:tc>
        <w:tcPr>
          <w:tcW w:w="2799" w:type="dxa"/>
        </w:tcPr>
        <w:p w14:paraId="2C60AE2F" w14:textId="77777777" w:rsidR="0050117F" w:rsidRPr="00A00D27" w:rsidRDefault="0050117F" w:rsidP="001835F7">
          <w:pPr>
            <w:pStyle w:val="FZ"/>
            <w:rPr>
              <w:lang w:val="de-DE"/>
            </w:rPr>
          </w:pPr>
          <w:r w:rsidRPr="00A00D27">
            <w:rPr>
              <w:lang w:val="de-DE"/>
            </w:rPr>
            <w:t>Registergericht/Registration Office: Amtsgericht Frankfurt am Main</w:t>
          </w:r>
        </w:p>
        <w:p w14:paraId="140702F0" w14:textId="77777777" w:rsidR="0050117F" w:rsidRPr="0052444D" w:rsidRDefault="0050117F" w:rsidP="001835F7">
          <w:pPr>
            <w:pStyle w:val="FZ"/>
          </w:pPr>
          <w:proofErr w:type="spellStart"/>
          <w:r>
            <w:t>Vereinsregister</w:t>
          </w:r>
          <w:proofErr w:type="spellEnd"/>
          <w:r>
            <w:t>/Society Register: VR4966</w:t>
          </w:r>
        </w:p>
        <w:p w14:paraId="6C087E10" w14:textId="77777777" w:rsidR="0050117F" w:rsidRPr="0052444D" w:rsidRDefault="0050117F" w:rsidP="001835F7">
          <w:pPr>
            <w:pStyle w:val="FZ"/>
            <w:rPr>
              <w:szCs w:val="14"/>
            </w:rPr>
          </w:pPr>
          <w:r>
            <w:t>Ust.ID-</w:t>
          </w:r>
          <w:proofErr w:type="gramStart"/>
          <w:r>
            <w:t>Nr./</w:t>
          </w:r>
          <w:proofErr w:type="gramEnd"/>
          <w:r>
            <w:t>VAT No.: DE 114 10 88 36</w:t>
          </w:r>
        </w:p>
      </w:tc>
      <w:tc>
        <w:tcPr>
          <w:tcW w:w="2077" w:type="dxa"/>
        </w:tcPr>
        <w:p w14:paraId="1CD91397" w14:textId="77777777" w:rsidR="0050117F" w:rsidRPr="0052444D" w:rsidRDefault="0050117F" w:rsidP="001835F7">
          <w:pPr>
            <w:pStyle w:val="FZ"/>
            <w:rPr>
              <w:b/>
              <w:lang w:val="en-GB"/>
            </w:rPr>
          </w:pPr>
        </w:p>
      </w:tc>
    </w:tr>
  </w:tbl>
  <w:p w14:paraId="4F2B1787" w14:textId="77777777" w:rsidR="0050117F" w:rsidRPr="0052444D" w:rsidRDefault="0050117F" w:rsidP="0050117F">
    <w:pPr>
      <w:pStyle w:val="Fuzeile"/>
      <w:spacing w:line="20" w:lineRule="exact"/>
      <w:rPr>
        <w:sz w:val="2"/>
        <w:lang w:val="en-GB"/>
      </w:rPr>
    </w:pPr>
  </w:p>
  <w:p w14:paraId="0350E7E1" w14:textId="77777777" w:rsidR="0050117F" w:rsidRDefault="0050117F" w:rsidP="0050117F">
    <w:pPr>
      <w:pStyle w:val="Fuzeile"/>
      <w:spacing w:line="20" w:lineRule="exac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DB383" w14:textId="77777777" w:rsidR="0042443D" w:rsidRDefault="0042443D">
      <w:r>
        <w:separator/>
      </w:r>
    </w:p>
  </w:footnote>
  <w:footnote w:type="continuationSeparator" w:id="0">
    <w:p w14:paraId="1BABC8D1" w14:textId="77777777" w:rsidR="0042443D" w:rsidRDefault="00424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 w:type="dxa"/>
      <w:tblLayout w:type="fixed"/>
      <w:tblCellMar>
        <w:left w:w="0" w:type="dxa"/>
        <w:right w:w="0" w:type="dxa"/>
      </w:tblCellMar>
      <w:tblLook w:val="0000" w:firstRow="0" w:lastRow="0" w:firstColumn="0" w:lastColumn="0" w:noHBand="0" w:noVBand="0"/>
    </w:tblPr>
    <w:tblGrid>
      <w:gridCol w:w="7655"/>
      <w:gridCol w:w="2608"/>
    </w:tblGrid>
    <w:tr w:rsidR="00F01E07" w14:paraId="168AC4C8" w14:textId="77777777">
      <w:trPr>
        <w:trHeight w:hRule="exact" w:val="1950"/>
      </w:trPr>
      <w:tc>
        <w:tcPr>
          <w:tcW w:w="7655" w:type="dxa"/>
        </w:tcPr>
        <w:p w14:paraId="04BA6130" w14:textId="3CA9B5BA" w:rsidR="00F01E07" w:rsidRDefault="00877A9E">
          <w:r>
            <w:t xml:space="preserve">Page </w:t>
          </w:r>
          <w:r w:rsidR="00F01E07">
            <w:fldChar w:fldCharType="begin"/>
          </w:r>
          <w:r w:rsidR="00F01E07">
            <w:instrText xml:space="preserve"> PAGE </w:instrText>
          </w:r>
          <w:r w:rsidR="00F01E07">
            <w:fldChar w:fldCharType="separate"/>
          </w:r>
          <w:r w:rsidR="00236A5F">
            <w:t>2</w:t>
          </w:r>
          <w:r w:rsidR="00F01E07">
            <w:fldChar w:fldCharType="end"/>
          </w:r>
          <w:r>
            <w:t>/</w:t>
          </w:r>
          <w:fldSimple w:instr=" NUMPAGES ">
            <w:r w:rsidR="00236A5F">
              <w:t>2</w:t>
            </w:r>
          </w:fldSimple>
          <w:r>
            <w:t xml:space="preserve"> · VDW · </w:t>
          </w:r>
        </w:p>
      </w:tc>
      <w:tc>
        <w:tcPr>
          <w:tcW w:w="2608" w:type="dxa"/>
        </w:tcPr>
        <w:p w14:paraId="7D2F317F" w14:textId="77777777" w:rsidR="00F01E07" w:rsidRDefault="00F01E07"/>
      </w:tc>
    </w:tr>
  </w:tbl>
  <w:p w14:paraId="64ABF902" w14:textId="77777777" w:rsidR="00F01E07" w:rsidRDefault="00F01E0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8" w:type="dxa"/>
      <w:tblLayout w:type="fixed"/>
      <w:tblCellMar>
        <w:left w:w="0" w:type="dxa"/>
        <w:right w:w="0" w:type="dxa"/>
      </w:tblCellMar>
      <w:tblLook w:val="0000" w:firstRow="0" w:lastRow="0" w:firstColumn="0" w:lastColumn="0" w:noHBand="0" w:noVBand="0"/>
    </w:tblPr>
    <w:tblGrid>
      <w:gridCol w:w="10348"/>
    </w:tblGrid>
    <w:tr w:rsidR="00F01E07" w14:paraId="4F4ABED8" w14:textId="77777777">
      <w:trPr>
        <w:cantSplit/>
        <w:trHeight w:hRule="exact" w:val="1920"/>
      </w:trPr>
      <w:tc>
        <w:tcPr>
          <w:tcW w:w="10348" w:type="dxa"/>
        </w:tcPr>
        <w:p w14:paraId="55AB46F6" w14:textId="77777777" w:rsidR="001835F7" w:rsidRDefault="001835F7" w:rsidP="001835F7">
          <w:pPr>
            <w:pStyle w:val="Kopf1"/>
          </w:pPr>
          <w:r>
            <w:t xml:space="preserve">Verein </w:t>
          </w:r>
          <w:proofErr w:type="spellStart"/>
          <w:r>
            <w:t>Deutscher</w:t>
          </w:r>
          <w:proofErr w:type="spellEnd"/>
          <w:r>
            <w:t xml:space="preserve"> </w:t>
          </w:r>
          <w:proofErr w:type="spellStart"/>
          <w:r>
            <w:t>Werkzeugmaschinenfabriken</w:t>
          </w:r>
          <w:proofErr w:type="spellEnd"/>
          <w:r>
            <w:rPr>
              <w:sz w:val="24"/>
            </w:rPr>
            <w:tab/>
          </w:r>
          <w:r>
            <w:rPr>
              <w:noProof/>
            </w:rPr>
            <w:drawing>
              <wp:inline distT="0" distB="0" distL="0" distR="0" wp14:anchorId="4774A7F6" wp14:editId="615C5611">
                <wp:extent cx="1245600" cy="3276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DW_0_90_153_rgb.png"/>
                        <pic:cNvPicPr/>
                      </pic:nvPicPr>
                      <pic:blipFill>
                        <a:blip r:embed="rId1">
                          <a:extLst>
                            <a:ext uri="{28A0092B-C50C-407E-A947-70E740481C1C}">
                              <a14:useLocalDpi xmlns:a14="http://schemas.microsoft.com/office/drawing/2010/main" val="0"/>
                            </a:ext>
                          </a:extLst>
                        </a:blip>
                        <a:stretch>
                          <a:fillRect/>
                        </a:stretch>
                      </pic:blipFill>
                      <pic:spPr>
                        <a:xfrm>
                          <a:off x="0" y="0"/>
                          <a:ext cx="1245600" cy="327600"/>
                        </a:xfrm>
                        <a:prstGeom prst="rect">
                          <a:avLst/>
                        </a:prstGeom>
                      </pic:spPr>
                    </pic:pic>
                  </a:graphicData>
                </a:graphic>
              </wp:inline>
            </w:drawing>
          </w:r>
        </w:p>
        <w:p w14:paraId="26CE316C" w14:textId="77777777" w:rsidR="00F01E07" w:rsidRDefault="00F01E07">
          <w:pPr>
            <w:pStyle w:val="Titel1"/>
          </w:pPr>
        </w:p>
      </w:tc>
    </w:tr>
  </w:tbl>
  <w:p w14:paraId="018850AB" w14:textId="77777777" w:rsidR="00F01E07" w:rsidRDefault="00F01E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3150F"/>
    <w:multiLevelType w:val="hybridMultilevel"/>
    <w:tmpl w:val="32E6F0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201F35"/>
    <w:multiLevelType w:val="hybridMultilevel"/>
    <w:tmpl w:val="C9AC758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5124155"/>
    <w:multiLevelType w:val="hybridMultilevel"/>
    <w:tmpl w:val="1A92BDBE"/>
    <w:lvl w:ilvl="0" w:tplc="353A4A2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1134"/>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3D"/>
    <w:rsid w:val="00000547"/>
    <w:rsid w:val="000012C6"/>
    <w:rsid w:val="00047BAA"/>
    <w:rsid w:val="00052A94"/>
    <w:rsid w:val="00062472"/>
    <w:rsid w:val="00064B48"/>
    <w:rsid w:val="000A2A88"/>
    <w:rsid w:val="000A31A8"/>
    <w:rsid w:val="000D1379"/>
    <w:rsid w:val="000D6B28"/>
    <w:rsid w:val="0010603D"/>
    <w:rsid w:val="001109BA"/>
    <w:rsid w:val="00146D7A"/>
    <w:rsid w:val="00160805"/>
    <w:rsid w:val="001734F0"/>
    <w:rsid w:val="001835F7"/>
    <w:rsid w:val="00186BE6"/>
    <w:rsid w:val="001A0A28"/>
    <w:rsid w:val="001C5959"/>
    <w:rsid w:val="001D157F"/>
    <w:rsid w:val="001D15FF"/>
    <w:rsid w:val="001D1A9F"/>
    <w:rsid w:val="001D274F"/>
    <w:rsid w:val="002139DB"/>
    <w:rsid w:val="00214BFF"/>
    <w:rsid w:val="00236A5F"/>
    <w:rsid w:val="002C225D"/>
    <w:rsid w:val="003029E3"/>
    <w:rsid w:val="003376A7"/>
    <w:rsid w:val="003A34F6"/>
    <w:rsid w:val="003B0C9D"/>
    <w:rsid w:val="003D7466"/>
    <w:rsid w:val="003E6CE0"/>
    <w:rsid w:val="00401FC4"/>
    <w:rsid w:val="00416510"/>
    <w:rsid w:val="0042443D"/>
    <w:rsid w:val="0043362F"/>
    <w:rsid w:val="00441E89"/>
    <w:rsid w:val="0045618F"/>
    <w:rsid w:val="004632AB"/>
    <w:rsid w:val="00486DC1"/>
    <w:rsid w:val="0048769E"/>
    <w:rsid w:val="004A0D85"/>
    <w:rsid w:val="004B02D3"/>
    <w:rsid w:val="004B5E23"/>
    <w:rsid w:val="004D109B"/>
    <w:rsid w:val="004E27A5"/>
    <w:rsid w:val="004E5BAC"/>
    <w:rsid w:val="0050117F"/>
    <w:rsid w:val="0052444D"/>
    <w:rsid w:val="00562030"/>
    <w:rsid w:val="00595E45"/>
    <w:rsid w:val="005D39CC"/>
    <w:rsid w:val="005F385B"/>
    <w:rsid w:val="005F60CE"/>
    <w:rsid w:val="006221AC"/>
    <w:rsid w:val="00625618"/>
    <w:rsid w:val="00635BC6"/>
    <w:rsid w:val="00637B84"/>
    <w:rsid w:val="00667B42"/>
    <w:rsid w:val="00696ECE"/>
    <w:rsid w:val="006E61DF"/>
    <w:rsid w:val="006F7690"/>
    <w:rsid w:val="0070554D"/>
    <w:rsid w:val="00705F0B"/>
    <w:rsid w:val="0070791F"/>
    <w:rsid w:val="00724D3E"/>
    <w:rsid w:val="0074206B"/>
    <w:rsid w:val="00746AF5"/>
    <w:rsid w:val="007669ED"/>
    <w:rsid w:val="007701EE"/>
    <w:rsid w:val="00777458"/>
    <w:rsid w:val="00792D91"/>
    <w:rsid w:val="00792F66"/>
    <w:rsid w:val="00794D1D"/>
    <w:rsid w:val="007B5569"/>
    <w:rsid w:val="007B6219"/>
    <w:rsid w:val="0081295B"/>
    <w:rsid w:val="0084025E"/>
    <w:rsid w:val="00842C1D"/>
    <w:rsid w:val="00877A9E"/>
    <w:rsid w:val="008F275B"/>
    <w:rsid w:val="009170BD"/>
    <w:rsid w:val="00921790"/>
    <w:rsid w:val="00973E24"/>
    <w:rsid w:val="009D5098"/>
    <w:rsid w:val="009D7EC0"/>
    <w:rsid w:val="009F7AC8"/>
    <w:rsid w:val="00A00D27"/>
    <w:rsid w:val="00A55989"/>
    <w:rsid w:val="00A70A3F"/>
    <w:rsid w:val="00AB383E"/>
    <w:rsid w:val="00AC059F"/>
    <w:rsid w:val="00AF42E5"/>
    <w:rsid w:val="00B007A0"/>
    <w:rsid w:val="00B1593E"/>
    <w:rsid w:val="00B6737B"/>
    <w:rsid w:val="00BB2AA4"/>
    <w:rsid w:val="00BC1DBD"/>
    <w:rsid w:val="00BC6836"/>
    <w:rsid w:val="00BD7AB5"/>
    <w:rsid w:val="00C26F66"/>
    <w:rsid w:val="00C50844"/>
    <w:rsid w:val="00C710CB"/>
    <w:rsid w:val="00C73FCA"/>
    <w:rsid w:val="00CB5C29"/>
    <w:rsid w:val="00CE29BC"/>
    <w:rsid w:val="00D3545E"/>
    <w:rsid w:val="00D65059"/>
    <w:rsid w:val="00D96FF7"/>
    <w:rsid w:val="00DA71E7"/>
    <w:rsid w:val="00DB0DC2"/>
    <w:rsid w:val="00DB3C0E"/>
    <w:rsid w:val="00DC17E9"/>
    <w:rsid w:val="00E249FA"/>
    <w:rsid w:val="00E3021E"/>
    <w:rsid w:val="00E33BF9"/>
    <w:rsid w:val="00E76F1A"/>
    <w:rsid w:val="00E8431A"/>
    <w:rsid w:val="00E9558C"/>
    <w:rsid w:val="00EB1B75"/>
    <w:rsid w:val="00EB1C53"/>
    <w:rsid w:val="00EE03FC"/>
    <w:rsid w:val="00EF0F35"/>
    <w:rsid w:val="00F01E07"/>
    <w:rsid w:val="00F241B3"/>
    <w:rsid w:val="00F25BE1"/>
    <w:rsid w:val="00F32587"/>
    <w:rsid w:val="00F74775"/>
    <w:rsid w:val="00F9593D"/>
    <w:rsid w:val="00F9789B"/>
    <w:rsid w:val="00FA6658"/>
    <w:rsid w:val="00FD13D8"/>
    <w:rsid w:val="00FD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1DAC734"/>
  <w15:docId w15:val="{6DFCF907-0EC2-4DBA-BB99-EF8BDD48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60" w:lineRule="atLeast"/>
    </w:pPr>
    <w:rPr>
      <w:rFonts w:ascii="Arial" w:hAnsi="Arial"/>
      <w:kern w:val="4"/>
      <w:sz w:val="22"/>
      <w:lang w:eastAsia="de-DE"/>
    </w:rPr>
  </w:style>
  <w:style w:type="paragraph" w:styleId="berschrift2">
    <w:name w:val="heading 2"/>
    <w:basedOn w:val="Standard"/>
    <w:next w:val="Standard"/>
    <w:qFormat/>
    <w:rsid w:val="0050117F"/>
    <w:pPr>
      <w:keepNext/>
      <w:framePr w:hSpace="142" w:wrap="around" w:vAnchor="page" w:hAnchor="page" w:x="1872" w:y="15197"/>
      <w:spacing w:line="240" w:lineRule="auto"/>
      <w:outlineLvl w:val="1"/>
    </w:pPr>
    <w:rPr>
      <w:b/>
      <w:kern w:val="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pPr>
      <w:widowControl w:val="0"/>
      <w:spacing w:line="600" w:lineRule="exact"/>
      <w:ind w:right="284"/>
      <w:jc w:val="right"/>
    </w:pPr>
    <w:rPr>
      <w:rFonts w:ascii="Arial" w:hAnsi="Arial"/>
      <w:noProof/>
      <w:sz w:val="22"/>
      <w:lang w:eastAsia="de-DE"/>
    </w:rPr>
  </w:style>
  <w:style w:type="paragraph" w:styleId="Fuzeile">
    <w:name w:val="footer"/>
    <w:basedOn w:val="Standard"/>
    <w:rPr>
      <w:sz w:val="16"/>
    </w:rPr>
  </w:style>
  <w:style w:type="character" w:styleId="Kommentarzeichen">
    <w:name w:val="annotation reference"/>
    <w:basedOn w:val="Absatz-Standardschriftart"/>
    <w:semiHidden/>
    <w:rPr>
      <w:sz w:val="16"/>
    </w:rPr>
  </w:style>
  <w:style w:type="paragraph" w:styleId="Kommentartext">
    <w:name w:val="annotation text"/>
    <w:basedOn w:val="Standard"/>
    <w:semiHidden/>
    <w:rPr>
      <w:sz w:val="20"/>
    </w:rPr>
  </w:style>
  <w:style w:type="paragraph" w:customStyle="1" w:styleId="Greeting">
    <w:name w:val="Greeting"/>
    <w:basedOn w:val="Standard"/>
    <w:next w:val="Standard"/>
  </w:style>
  <w:style w:type="paragraph" w:customStyle="1" w:styleId="Blind">
    <w:name w:val="Blind"/>
    <w:basedOn w:val="Foot"/>
  </w:style>
  <w:style w:type="paragraph" w:customStyle="1" w:styleId="Foot">
    <w:name w:val="Foot"/>
    <w:basedOn w:val="Standard"/>
    <w:pPr>
      <w:spacing w:line="140" w:lineRule="exact"/>
    </w:pPr>
    <w:rPr>
      <w:vanish/>
      <w:sz w:val="12"/>
    </w:rPr>
  </w:style>
  <w:style w:type="paragraph" w:customStyle="1" w:styleId="Opening">
    <w:name w:val="Opening"/>
    <w:basedOn w:val="Standard"/>
  </w:style>
  <w:style w:type="paragraph" w:customStyle="1" w:styleId="Von">
    <w:name w:val="Von"/>
    <w:basedOn w:val="Standard"/>
  </w:style>
  <w:style w:type="paragraph" w:customStyle="1" w:styleId="Initials">
    <w:name w:val="Initials"/>
    <w:basedOn w:val="Standard"/>
    <w:next w:val="Standard"/>
  </w:style>
  <w:style w:type="paragraph" w:customStyle="1" w:styleId="Signatory">
    <w:name w:val="Signatory"/>
    <w:basedOn w:val="Standard"/>
    <w:next w:val="Standard"/>
  </w:style>
  <w:style w:type="paragraph" w:customStyle="1" w:styleId="Address">
    <w:name w:val="Address"/>
    <w:basedOn w:val="Standard"/>
    <w:pPr>
      <w:tabs>
        <w:tab w:val="left" w:pos="624"/>
      </w:tabs>
      <w:spacing w:line="190" w:lineRule="exact"/>
    </w:pPr>
    <w:rPr>
      <w:sz w:val="17"/>
    </w:rPr>
  </w:style>
  <w:style w:type="paragraph" w:customStyle="1" w:styleId="Fax1">
    <w:name w:val="Fax1"/>
    <w:basedOn w:val="Standard"/>
  </w:style>
  <w:style w:type="paragraph" w:customStyle="1" w:styleId="Organisation">
    <w:name w:val="Organisation"/>
    <w:basedOn w:val="Standard"/>
    <w:rPr>
      <w:b/>
    </w:rPr>
  </w:style>
  <w:style w:type="paragraph" w:customStyle="1" w:styleId="Fax2">
    <w:name w:val="Fax2"/>
    <w:basedOn w:val="Standard"/>
  </w:style>
  <w:style w:type="paragraph" w:customStyle="1" w:styleId="Kopfzeile1">
    <w:name w:val="Kopfzeile1"/>
    <w:basedOn w:val="Standard"/>
    <w:next w:val="Standard"/>
    <w:rPr>
      <w:b/>
    </w:rPr>
  </w:style>
  <w:style w:type="paragraph" w:customStyle="1" w:styleId="Dates">
    <w:name w:val="Dates"/>
    <w:basedOn w:val="Standard"/>
  </w:style>
  <w:style w:type="paragraph" w:customStyle="1" w:styleId="Name">
    <w:name w:val="Name"/>
    <w:basedOn w:val="Standard"/>
  </w:style>
  <w:style w:type="paragraph" w:customStyle="1" w:styleId="Pages">
    <w:name w:val="Pages"/>
    <w:basedOn w:val="Standard"/>
  </w:style>
  <w:style w:type="paragraph" w:customStyle="1" w:styleId="StandardTabelle">
    <w:name w:val="StandardTabelle"/>
    <w:basedOn w:val="Standard"/>
    <w:pPr>
      <w:tabs>
        <w:tab w:val="left" w:pos="2381"/>
        <w:tab w:val="left" w:pos="7541"/>
      </w:tabs>
    </w:pPr>
  </w:style>
  <w:style w:type="paragraph" w:customStyle="1" w:styleId="Firma">
    <w:name w:val="Firma"/>
    <w:basedOn w:val="Standard"/>
  </w:style>
  <w:style w:type="paragraph" w:customStyle="1" w:styleId="Telefon">
    <w:name w:val="Telefon"/>
    <w:basedOn w:val="Standard"/>
  </w:style>
  <w:style w:type="paragraph" w:customStyle="1" w:styleId="Titel1">
    <w:name w:val="Titel1"/>
    <w:basedOn w:val="Standard"/>
    <w:pPr>
      <w:spacing w:line="700" w:lineRule="exact"/>
      <w:ind w:left="2884"/>
    </w:pPr>
  </w:style>
  <w:style w:type="paragraph" w:customStyle="1" w:styleId="Page">
    <w:name w:val="Page"/>
    <w:basedOn w:val="Standard"/>
  </w:style>
  <w:style w:type="paragraph" w:styleId="Sprechblasentext">
    <w:name w:val="Balloon Text"/>
    <w:basedOn w:val="Standard"/>
    <w:link w:val="SprechblasentextZchn"/>
    <w:rsid w:val="001835F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1835F7"/>
    <w:rPr>
      <w:rFonts w:ascii="Tahoma" w:hAnsi="Tahoma" w:cs="Tahoma"/>
      <w:kern w:val="4"/>
      <w:sz w:val="16"/>
      <w:szCs w:val="16"/>
      <w:lang w:val="en-US" w:eastAsia="de-DE"/>
    </w:rPr>
  </w:style>
  <w:style w:type="paragraph" w:customStyle="1" w:styleId="FZ">
    <w:name w:val="FZ"/>
    <w:basedOn w:val="Standard"/>
    <w:qFormat/>
    <w:rsid w:val="001835F7"/>
    <w:pPr>
      <w:spacing w:line="160" w:lineRule="exact"/>
    </w:pPr>
    <w:rPr>
      <w:sz w:val="14"/>
    </w:rPr>
  </w:style>
  <w:style w:type="paragraph" w:customStyle="1" w:styleId="Kopf1">
    <w:name w:val="Kopf1"/>
    <w:basedOn w:val="Standard"/>
    <w:rsid w:val="001835F7"/>
    <w:pPr>
      <w:spacing w:line="700" w:lineRule="exact"/>
      <w:ind w:left="2884"/>
    </w:pPr>
  </w:style>
  <w:style w:type="paragraph" w:customStyle="1" w:styleId="Pfadangabe">
    <w:name w:val="Pfadangabe"/>
    <w:basedOn w:val="Standard"/>
    <w:link w:val="PfadangabeZchn"/>
    <w:rsid w:val="001835F7"/>
    <w:pPr>
      <w:framePr w:w="329" w:h="7938" w:hRule="exact" w:hSpace="181" w:wrap="around" w:vAnchor="page" w:hAnchor="page" w:x="528" w:y="7831" w:anchorLock="1"/>
      <w:spacing w:line="240" w:lineRule="atLeast"/>
      <w:textDirection w:val="btLr"/>
    </w:pPr>
    <w:rPr>
      <w:sz w:val="14"/>
      <w:szCs w:val="14"/>
    </w:rPr>
  </w:style>
  <w:style w:type="character" w:customStyle="1" w:styleId="PfadangabeZchn">
    <w:name w:val="Pfadangabe Zchn"/>
    <w:link w:val="Pfadangabe"/>
    <w:rsid w:val="001835F7"/>
    <w:rPr>
      <w:rFonts w:ascii="Arial" w:hAnsi="Arial"/>
      <w:kern w:val="4"/>
      <w:sz w:val="14"/>
      <w:szCs w:val="14"/>
      <w:lang w:val="en-US" w:eastAsia="de-DE"/>
    </w:rPr>
  </w:style>
  <w:style w:type="paragraph" w:styleId="Listenabsatz">
    <w:name w:val="List Paragraph"/>
    <w:basedOn w:val="Standard"/>
    <w:uiPriority w:val="34"/>
    <w:qFormat/>
    <w:rsid w:val="00064B48"/>
    <w:pPr>
      <w:spacing w:after="120" w:line="264" w:lineRule="auto"/>
      <w:ind w:left="720"/>
      <w:contextualSpacing/>
    </w:pPr>
    <w:rPr>
      <w:rFonts w:asciiTheme="minorHAnsi" w:eastAsiaTheme="minorEastAsia" w:hAnsiTheme="minorHAnsi" w:cstheme="minorBidi"/>
      <w:kern w:val="0"/>
      <w:sz w:val="21"/>
      <w:szCs w:val="21"/>
      <w:lang w:eastAsia="en-US"/>
    </w:rPr>
  </w:style>
  <w:style w:type="character" w:styleId="Hyperlink">
    <w:name w:val="Hyperlink"/>
    <w:basedOn w:val="Absatz-Standardschriftart"/>
    <w:unhideWhenUsed/>
    <w:rsid w:val="009F7AC8"/>
    <w:rPr>
      <w:color w:val="0000FF" w:themeColor="hyperlink"/>
      <w:u w:val="single"/>
    </w:rPr>
  </w:style>
  <w:style w:type="character" w:styleId="NichtaufgelsteErwhnung">
    <w:name w:val="Unresolved Mention"/>
    <w:basedOn w:val="Absatz-Standardschriftart"/>
    <w:uiPriority w:val="99"/>
    <w:semiHidden/>
    <w:unhideWhenUsed/>
    <w:rsid w:val="009F7AC8"/>
    <w:rPr>
      <w:color w:val="605E5C"/>
      <w:shd w:val="clear" w:color="auto" w:fill="E1DFDD"/>
    </w:rPr>
  </w:style>
  <w:style w:type="paragraph" w:styleId="Textkrper2">
    <w:name w:val="Body Text 2"/>
    <w:basedOn w:val="Standard"/>
    <w:link w:val="Textkrper2Zchn"/>
    <w:rsid w:val="00D65059"/>
    <w:pPr>
      <w:spacing w:line="360" w:lineRule="auto"/>
      <w:ind w:right="1700"/>
    </w:pPr>
    <w:rPr>
      <w:rFonts w:cs="Arial"/>
      <w:szCs w:val="22"/>
    </w:rPr>
  </w:style>
  <w:style w:type="character" w:customStyle="1" w:styleId="Textkrper2Zchn">
    <w:name w:val="Textkörper 2 Zchn"/>
    <w:basedOn w:val="Absatz-Standardschriftart"/>
    <w:link w:val="Textkrper2"/>
    <w:rsid w:val="00D65059"/>
    <w:rPr>
      <w:rFonts w:ascii="Arial" w:hAnsi="Arial" w:cs="Arial"/>
      <w:kern w:val="4"/>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gif"/><Relationship Id="rId18" Type="http://schemas.openxmlformats.org/officeDocument/2006/relationships/hyperlink" Target="http://www.linkedin.com/company/"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de.industryarena.com/vdw"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www.twitter.com/VDWonline%0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hyperlink" Target="http://www.vdw.de"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youtube.com/metaltradefair"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414BFC37D4A44EBDAA323210F88384" ma:contentTypeVersion="10" ma:contentTypeDescription="Create a new document." ma:contentTypeScope="" ma:versionID="2bd34d95c8a4983705d368a9697ea5a5">
  <xsd:schema xmlns:xsd="http://www.w3.org/2001/XMLSchema" xmlns:xs="http://www.w3.org/2001/XMLSchema" xmlns:p="http://schemas.microsoft.com/office/2006/metadata/properties" xmlns:ns2="63a99019-db02-4c87-8258-782f93d07f7d" targetNamespace="http://schemas.microsoft.com/office/2006/metadata/properties" ma:root="true" ma:fieldsID="0c0c7b9efaff6507776cb5a0a5703684" ns2:_="">
    <xsd:import namespace="63a99019-db02-4c87-8258-782f93d07f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99019-db02-4c87-8258-782f93d0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F764A-581A-4438-BD14-96FECE56D84D}">
  <ds:schemaRefs>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http://purl.org/dc/dcmitype/"/>
    <ds:schemaRef ds:uri="63a99019-db02-4c87-8258-782f93d07f7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EA4055A-AFF2-46BD-9EFE-CF38848267CC}">
  <ds:schemaRefs>
    <ds:schemaRef ds:uri="http://schemas.microsoft.com/sharepoint/v3/contenttype/forms"/>
  </ds:schemaRefs>
</ds:datastoreItem>
</file>

<file path=customXml/itemProps3.xml><?xml version="1.0" encoding="utf-8"?>
<ds:datastoreItem xmlns:ds="http://schemas.openxmlformats.org/officeDocument/2006/customXml" ds:itemID="{14F97864-5582-43DD-BC79-C7392FFBA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99019-db02-4c87-8258-782f93d07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6791</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Fax</vt:lpstr>
    </vt:vector>
  </TitlesOfParts>
  <Company>sth</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creator>Witzenhausen, Felix</dc:creator>
  <cp:lastModifiedBy>Becker, Sylke</cp:lastModifiedBy>
  <cp:revision>3</cp:revision>
  <cp:lastPrinted>2022-03-30T15:59:00Z</cp:lastPrinted>
  <dcterms:created xsi:type="dcterms:W3CDTF">2022-03-30T15:59:00Z</dcterms:created>
  <dcterms:modified xsi:type="dcterms:W3CDTF">2022-03-30T15:59:00Z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0x010100CA414BFC37D4A44EBDAA323210F88384</vt:lpwstr>
  </property>
</Properties>
</file>