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C048" w14:textId="3F1BEF9E" w:rsidR="00B6511B" w:rsidRPr="00317BD4" w:rsidRDefault="002B4166" w:rsidP="004A2E44">
      <w:pPr>
        <w:spacing w:line="276" w:lineRule="auto"/>
        <w:ind w:right="-143"/>
        <w:rPr>
          <w:rFonts w:cs="Adobe Arabic"/>
          <w:b/>
          <w:sz w:val="24"/>
        </w:rPr>
      </w:pPr>
      <w:r>
        <w:rPr>
          <w:b/>
          <w:sz w:val="24"/>
        </w:rPr>
        <w:t>HEIDENHAIN at EMO 2023: solutions for greater process reliability in automated manufacturing</w:t>
      </w:r>
    </w:p>
    <w:p w14:paraId="7743669D" w14:textId="77777777" w:rsidR="00B6511B" w:rsidRPr="00334FD7" w:rsidRDefault="00B6511B" w:rsidP="004F226A">
      <w:pPr>
        <w:spacing w:line="276" w:lineRule="auto"/>
        <w:ind w:right="-94"/>
        <w:rPr>
          <w:rFonts w:cs="Adobe Arabic"/>
        </w:rPr>
      </w:pPr>
    </w:p>
    <w:p w14:paraId="613C14F2" w14:textId="228A5A07" w:rsidR="009A7518" w:rsidRDefault="00A32B93" w:rsidP="00B07FE0">
      <w:pPr>
        <w:spacing w:line="276" w:lineRule="auto"/>
        <w:rPr>
          <w:rFonts w:cs="Adobe Arabic"/>
        </w:rPr>
      </w:pPr>
      <w:r>
        <w:rPr>
          <w:i/>
        </w:rPr>
        <w:t xml:space="preserve">The challenge of automation runs deeper than complex production systems with robots and a pallet </w:t>
      </w:r>
      <w:r w:rsidR="00BA0749">
        <w:rPr>
          <w:i/>
        </w:rPr>
        <w:t>pool</w:t>
      </w:r>
      <w:r>
        <w:rPr>
          <w:i/>
        </w:rPr>
        <w:t xml:space="preserve">. It’s </w:t>
      </w:r>
      <w:r w:rsidR="00BB0A2B">
        <w:rPr>
          <w:i/>
        </w:rPr>
        <w:t xml:space="preserve">also </w:t>
      </w:r>
      <w:r>
        <w:rPr>
          <w:i/>
        </w:rPr>
        <w:t>about perfectly tuned workflows that ensure reliable processes. HEIDENHAIN offers effective solutions.</w:t>
      </w:r>
    </w:p>
    <w:p w14:paraId="33D9EA92" w14:textId="77777777" w:rsidR="00DA3853" w:rsidRDefault="00DA3853" w:rsidP="00806A90">
      <w:pPr>
        <w:spacing w:line="276" w:lineRule="auto"/>
        <w:ind w:right="-94"/>
        <w:rPr>
          <w:rFonts w:cs="Adobe Arabic"/>
        </w:rPr>
      </w:pPr>
    </w:p>
    <w:p w14:paraId="005CFC04" w14:textId="08F3A965" w:rsidR="0053604F" w:rsidRDefault="004D114D" w:rsidP="0053604F">
      <w:pPr>
        <w:spacing w:line="276" w:lineRule="auto"/>
        <w:ind w:right="-94"/>
        <w:rPr>
          <w:rFonts w:cs="Adobe Arabic"/>
        </w:rPr>
      </w:pPr>
      <w:r>
        <w:t xml:space="preserve">This year at EMO, HEIDENHAIN is showcasing the </w:t>
      </w:r>
      <w:r w:rsidR="00BB0A2B">
        <w:t>TD </w:t>
      </w:r>
      <w:r>
        <w:t xml:space="preserve">110 tool breakage detector for in-process tool inspection. This includes a live demo in conjunction with the </w:t>
      </w:r>
      <w:proofErr w:type="spellStart"/>
      <w:r>
        <w:t>StateMonitor</w:t>
      </w:r>
      <w:proofErr w:type="spellEnd"/>
      <w:r>
        <w:t xml:space="preserve"> machine data collection software. But even if a tool isn’t broken, it still can’t be used if it is too worn or if its cutting teeth are damaged. To detect these issues, HEIDENHAIN </w:t>
      </w:r>
      <w:r w:rsidR="00285476">
        <w:t xml:space="preserve">also </w:t>
      </w:r>
      <w:r>
        <w:t>offers the VT</w:t>
      </w:r>
      <w:r w:rsidR="00285476">
        <w:t> </w:t>
      </w:r>
      <w:r>
        <w:t xml:space="preserve">121 vision system and the </w:t>
      </w:r>
      <w:r w:rsidR="00BB0A2B">
        <w:t>VTC </w:t>
      </w:r>
      <w:r>
        <w:t>1.4 software for tool inspection.</w:t>
      </w:r>
      <w:r w:rsidR="00285476">
        <w:rPr>
          <w:rFonts w:cs="Adobe Arabic"/>
        </w:rPr>
        <w:t xml:space="preserve"> </w:t>
      </w:r>
      <w:r w:rsidR="0053604F">
        <w:t>Tool inspection, in turn, requires having the correct tool in the machine and a tool table containing the correct data. One way of achieving this is to connect the HEIDENHAIN control to an external tool data management system, a service provided by the HEIDENHAIN Service team.</w:t>
      </w:r>
    </w:p>
    <w:p w14:paraId="49C574FE" w14:textId="77777777" w:rsidR="004D114D" w:rsidRPr="00C91B94" w:rsidRDefault="004D114D" w:rsidP="004D114D">
      <w:pPr>
        <w:spacing w:line="276" w:lineRule="auto"/>
        <w:ind w:right="-94"/>
        <w:rPr>
          <w:rFonts w:cs="Adobe Arabic"/>
        </w:rPr>
      </w:pPr>
    </w:p>
    <w:p w14:paraId="47034298" w14:textId="7422CCED" w:rsidR="004D114D" w:rsidRPr="00131C21" w:rsidRDefault="007D51FD" w:rsidP="00131C21">
      <w:pPr>
        <w:spacing w:line="276" w:lineRule="auto"/>
        <w:rPr>
          <w:rFonts w:cs="Adobe Arabic"/>
          <w:b/>
        </w:rPr>
      </w:pPr>
      <w:r>
        <w:rPr>
          <w:b/>
        </w:rPr>
        <w:t>The TD 110 tool breakage detector from HEIDENHAIN: convenient in-process tool inspection</w:t>
      </w:r>
    </w:p>
    <w:p w14:paraId="5A889E16" w14:textId="65CFEB29" w:rsidR="00BA5ADE" w:rsidRDefault="00BA5ADE" w:rsidP="00BA5ADE">
      <w:pPr>
        <w:spacing w:line="276" w:lineRule="auto"/>
        <w:ind w:right="-94"/>
      </w:pPr>
      <w:r>
        <w:t xml:space="preserve">Automatically detect broken tools in automated processes and prevent damage </w:t>
      </w:r>
      <w:r w:rsidR="00BB0A2B">
        <w:t>during subsequent</w:t>
      </w:r>
      <w:r>
        <w:t xml:space="preserve"> machining operations. The TD 110 increases process reliability without interrupting </w:t>
      </w:r>
      <w:r w:rsidR="007A367E">
        <w:t>machining by</w:t>
      </w:r>
      <w:r>
        <w:t xml:space="preserve"> detecting broken tools</w:t>
      </w:r>
      <w:r w:rsidR="007A367E">
        <w:t xml:space="preserve"> passing by</w:t>
      </w:r>
      <w:r>
        <w:t xml:space="preserve"> on their way to or from the tool magazine</w:t>
      </w:r>
      <w:r w:rsidR="007A367E">
        <w:t>, thereby</w:t>
      </w:r>
      <w:r>
        <w:t xml:space="preserve"> preventing them from being used in the first place. This compact and robust sensor can be added to the workspace of any machine tool in close proximity to the machining table. Its signals are sent to the control via the touch-probe interface. The control then triggers a machine message, NC stop or a reaction defined by the user, such as a message to </w:t>
      </w:r>
      <w:proofErr w:type="spellStart"/>
      <w:r>
        <w:t>StateMonitor</w:t>
      </w:r>
      <w:proofErr w:type="spellEnd"/>
      <w:r>
        <w:t>.</w:t>
      </w:r>
    </w:p>
    <w:p w14:paraId="66362529" w14:textId="4454A103" w:rsidR="00C91B94" w:rsidRPr="00C91B94" w:rsidRDefault="00C91B94" w:rsidP="00C91B94">
      <w:pPr>
        <w:spacing w:line="276" w:lineRule="auto"/>
        <w:ind w:right="-94"/>
        <w:rPr>
          <w:rFonts w:cs="Adobe Arabic"/>
        </w:rPr>
      </w:pPr>
      <w:r>
        <w:t xml:space="preserve">The TD 110 tool breakage detector inspects tools with a diameter of at least 0.4 mm and performs non-contact breakage detection starting with a length change of 2 mm. This happens inside the machine envelope with the spindle rotating at its operating speed. This considerably increases the process reliability and shaves up to six seconds off of every inspection compared with conventional laser systems. The time and cost benefits during tool changes are considerable. And because the </w:t>
      </w:r>
      <w:r w:rsidR="00BB0A2B">
        <w:t>TD </w:t>
      </w:r>
      <w:r>
        <w:t xml:space="preserve">110 operates without compressed air, its carbon footprint is small. Installation is also easy thanks to the omission of air hoses and filter systems. All that’s needed instead is a single </w:t>
      </w:r>
      <w:r w:rsidR="00BB0A2B">
        <w:t xml:space="preserve">cable </w:t>
      </w:r>
      <w:r>
        <w:t xml:space="preserve">carrying both power and communication. And thanks to its inductive measurement technology, the </w:t>
      </w:r>
      <w:r w:rsidR="00BB0A2B">
        <w:t>TD </w:t>
      </w:r>
      <w:r>
        <w:t>110 is maintenance-free.</w:t>
      </w:r>
    </w:p>
    <w:p w14:paraId="1BE71F4F" w14:textId="77777777" w:rsidR="00C91B94" w:rsidRPr="00C91B94" w:rsidRDefault="00C91B94" w:rsidP="00C91B94">
      <w:pPr>
        <w:spacing w:line="276" w:lineRule="auto"/>
        <w:ind w:right="-94"/>
        <w:rPr>
          <w:rFonts w:cs="Adobe Arabic"/>
        </w:rPr>
      </w:pPr>
    </w:p>
    <w:p w14:paraId="2F6338E1" w14:textId="7DB1D564" w:rsidR="00C91B94" w:rsidRPr="00BA5ADE" w:rsidRDefault="00C91B94" w:rsidP="00BA5ADE">
      <w:pPr>
        <w:spacing w:line="276" w:lineRule="auto"/>
        <w:rPr>
          <w:rFonts w:cs="Adobe Arabic"/>
          <w:b/>
        </w:rPr>
      </w:pPr>
      <w:r>
        <w:rPr>
          <w:b/>
        </w:rPr>
        <w:t xml:space="preserve">Live demo at EMO: “The TD 110, TNC7 and </w:t>
      </w:r>
      <w:proofErr w:type="spellStart"/>
      <w:r>
        <w:rPr>
          <w:b/>
        </w:rPr>
        <w:t>StateMonitor</w:t>
      </w:r>
      <w:proofErr w:type="spellEnd"/>
      <w:r>
        <w:rPr>
          <w:b/>
        </w:rPr>
        <w:t xml:space="preserve"> software from HEIDENHAIN”</w:t>
      </w:r>
    </w:p>
    <w:p w14:paraId="1E4EECEB" w14:textId="6552D1E6" w:rsidR="00C91B94" w:rsidRPr="00C91B94" w:rsidRDefault="00C91B94" w:rsidP="00C91B94">
      <w:pPr>
        <w:spacing w:line="276" w:lineRule="auto"/>
        <w:ind w:right="-94"/>
        <w:rPr>
          <w:rFonts w:cs="Adobe Arabic"/>
        </w:rPr>
      </w:pPr>
      <w:r>
        <w:t xml:space="preserve">The live product demonstrations on the machine at the HEIDENHAIN trade-show booth in Hannover, Germany, include a demonstration of the </w:t>
      </w:r>
      <w:r w:rsidR="002C0B35">
        <w:t>TD </w:t>
      </w:r>
      <w:r>
        <w:t xml:space="preserve">110 using the breakage inspection cycle of the TNC7, including an alert to the </w:t>
      </w:r>
      <w:proofErr w:type="spellStart"/>
      <w:r>
        <w:t>StateMonitor</w:t>
      </w:r>
      <w:proofErr w:type="spellEnd"/>
      <w:r>
        <w:t xml:space="preserve"> software from the HEIDENHAIN Digital Shop Floor. The breakage inspection cycle for HEIDENHAIN controls evaluates the inspection as follows:</w:t>
      </w:r>
    </w:p>
    <w:p w14:paraId="54E3BE4C" w14:textId="6E384149" w:rsidR="00C91B94" w:rsidRPr="00BA5ADE" w:rsidRDefault="00C91B94" w:rsidP="00A32B93">
      <w:pPr>
        <w:pStyle w:val="Listenabsatz"/>
        <w:numPr>
          <w:ilvl w:val="0"/>
          <w:numId w:val="5"/>
        </w:numPr>
        <w:spacing w:after="0"/>
        <w:ind w:left="357" w:right="-96" w:hanging="357"/>
        <w:rPr>
          <w:rFonts w:ascii="Arial" w:hAnsi="Arial" w:cs="Arial"/>
        </w:rPr>
      </w:pPr>
      <w:r>
        <w:rPr>
          <w:rFonts w:ascii="Arial" w:hAnsi="Arial"/>
        </w:rPr>
        <w:t xml:space="preserve">Tool intact = The production process can be continued, and a notification is sent to the control and to </w:t>
      </w:r>
      <w:proofErr w:type="spellStart"/>
      <w:r>
        <w:rPr>
          <w:rFonts w:ascii="Arial" w:hAnsi="Arial"/>
        </w:rPr>
        <w:t>StateMonitor</w:t>
      </w:r>
      <w:proofErr w:type="spellEnd"/>
      <w:r w:rsidR="00CA7BFB">
        <w:rPr>
          <w:rFonts w:ascii="Arial" w:hAnsi="Arial"/>
        </w:rPr>
        <w:t>.</w:t>
      </w:r>
    </w:p>
    <w:p w14:paraId="0FDF7856" w14:textId="77777777" w:rsidR="00CA7BFB" w:rsidRDefault="00C91B94" w:rsidP="00CA7BFB">
      <w:pPr>
        <w:pStyle w:val="Listenabsatz"/>
        <w:numPr>
          <w:ilvl w:val="0"/>
          <w:numId w:val="5"/>
        </w:numPr>
        <w:spacing w:after="0"/>
        <w:ind w:left="357" w:right="-96" w:hanging="357"/>
        <w:rPr>
          <w:rFonts w:ascii="Arial" w:hAnsi="Arial" w:cs="Arial"/>
        </w:rPr>
      </w:pPr>
      <w:r>
        <w:rPr>
          <w:rFonts w:ascii="Arial" w:hAnsi="Arial"/>
        </w:rPr>
        <w:t xml:space="preserve">Tool breakage detected = </w:t>
      </w:r>
      <w:r w:rsidR="002C0B35">
        <w:rPr>
          <w:rFonts w:ascii="Arial" w:hAnsi="Arial"/>
        </w:rPr>
        <w:t xml:space="preserve">The </w:t>
      </w:r>
      <w:r>
        <w:rPr>
          <w:rFonts w:ascii="Arial" w:hAnsi="Arial"/>
        </w:rPr>
        <w:t xml:space="preserve">user is free to define the desired action, such as locking the tool, interrupting the NC program, notifying the control and alerting </w:t>
      </w:r>
      <w:proofErr w:type="spellStart"/>
      <w:r>
        <w:rPr>
          <w:rFonts w:ascii="Arial" w:hAnsi="Arial"/>
        </w:rPr>
        <w:t>StateMonitor</w:t>
      </w:r>
      <w:proofErr w:type="spellEnd"/>
      <w:r>
        <w:rPr>
          <w:rFonts w:ascii="Arial" w:hAnsi="Arial"/>
        </w:rPr>
        <w:t xml:space="preserve">. The </w:t>
      </w:r>
      <w:r w:rsidR="002C0B35">
        <w:rPr>
          <w:rFonts w:ascii="Arial" w:hAnsi="Arial"/>
        </w:rPr>
        <w:t>TD </w:t>
      </w:r>
      <w:r>
        <w:rPr>
          <w:rFonts w:ascii="Arial" w:hAnsi="Arial"/>
        </w:rPr>
        <w:t>110 is</w:t>
      </w:r>
      <w:r w:rsidR="00CA7BFB">
        <w:rPr>
          <w:rFonts w:ascii="Arial" w:hAnsi="Arial"/>
        </w:rPr>
        <w:t xml:space="preserve"> also</w:t>
      </w:r>
      <w:r>
        <w:rPr>
          <w:rFonts w:ascii="Arial" w:hAnsi="Arial"/>
        </w:rPr>
        <w:t xml:space="preserve"> connected to </w:t>
      </w:r>
      <w:proofErr w:type="spellStart"/>
      <w:r>
        <w:rPr>
          <w:rFonts w:ascii="Arial" w:hAnsi="Arial"/>
        </w:rPr>
        <w:t>StateMonitor</w:t>
      </w:r>
      <w:proofErr w:type="spellEnd"/>
      <w:r>
        <w:rPr>
          <w:rFonts w:ascii="Arial" w:hAnsi="Arial"/>
        </w:rPr>
        <w:t xml:space="preserve"> as a signal message</w:t>
      </w:r>
      <w:r w:rsidR="00CA7BFB">
        <w:rPr>
          <w:rFonts w:ascii="Arial" w:hAnsi="Arial" w:cs="Arial"/>
        </w:rPr>
        <w:t>.</w:t>
      </w:r>
      <w:r w:rsidR="00CA7BFB" w:rsidRPr="00CA7BFB">
        <w:rPr>
          <w:rFonts w:ascii="Arial" w:hAnsi="Arial" w:cs="Arial"/>
        </w:rPr>
        <w:t xml:space="preserve"> </w:t>
      </w:r>
    </w:p>
    <w:p w14:paraId="4098275B" w14:textId="515A1A40" w:rsidR="00C91B94" w:rsidRPr="00CA7BFB" w:rsidRDefault="00CA7BFB" w:rsidP="00CA7BFB">
      <w:pPr>
        <w:pStyle w:val="Listenabsatz"/>
        <w:spacing w:after="0"/>
        <w:ind w:left="0" w:right="-96"/>
        <w:jc w:val="both"/>
        <w:rPr>
          <w:rFonts w:ascii="Arial" w:hAnsi="Arial" w:cs="Arial"/>
        </w:rPr>
      </w:pPr>
      <w:r>
        <w:rPr>
          <w:rFonts w:ascii="Arial" w:hAnsi="Arial" w:cs="Arial"/>
        </w:rPr>
        <w:t>This</w:t>
      </w:r>
      <w:r w:rsidR="00BA5ADE" w:rsidRPr="00CA7BFB">
        <w:rPr>
          <w:rFonts w:ascii="Arial" w:hAnsi="Arial" w:cs="Arial"/>
        </w:rPr>
        <w:t xml:space="preserve"> allow</w:t>
      </w:r>
      <w:r>
        <w:rPr>
          <w:rFonts w:ascii="Arial" w:hAnsi="Arial" w:cs="Arial"/>
        </w:rPr>
        <w:t>s</w:t>
      </w:r>
      <w:r w:rsidR="00BA5ADE" w:rsidRPr="00CA7BFB">
        <w:rPr>
          <w:rFonts w:ascii="Arial" w:hAnsi="Arial" w:cs="Arial"/>
        </w:rPr>
        <w:t xml:space="preserve"> relevant staff members to be informed of the breakage. Thanks to the </w:t>
      </w:r>
      <w:proofErr w:type="spellStart"/>
      <w:r w:rsidR="00BA5ADE" w:rsidRPr="00CA7BFB">
        <w:rPr>
          <w:rFonts w:ascii="Arial" w:hAnsi="Arial" w:cs="Arial"/>
        </w:rPr>
        <w:t>StateMonitor</w:t>
      </w:r>
      <w:proofErr w:type="spellEnd"/>
      <w:r w:rsidR="00BA5ADE" w:rsidRPr="00CA7BFB">
        <w:rPr>
          <w:rFonts w:ascii="Arial" w:hAnsi="Arial" w:cs="Arial"/>
        </w:rPr>
        <w:t xml:space="preserve"> messenger function, this accelerates reaction times, such as during simultaneous multi-machine operation. Connecting the sensor to </w:t>
      </w:r>
      <w:proofErr w:type="spellStart"/>
      <w:r w:rsidR="00BA5ADE" w:rsidRPr="00CA7BFB">
        <w:rPr>
          <w:rFonts w:ascii="Arial" w:hAnsi="Arial" w:cs="Arial"/>
        </w:rPr>
        <w:t>StateMonitor</w:t>
      </w:r>
      <w:proofErr w:type="spellEnd"/>
      <w:r w:rsidR="00BA5ADE" w:rsidRPr="00CA7BFB">
        <w:rPr>
          <w:rFonts w:ascii="Arial" w:hAnsi="Arial" w:cs="Arial"/>
        </w:rPr>
        <w:t xml:space="preserve"> also enables a detailed analysis of breakages over time.</w:t>
      </w:r>
    </w:p>
    <w:p w14:paraId="282A959E" w14:textId="77777777" w:rsidR="00C91B94" w:rsidRPr="00C91B94" w:rsidRDefault="00C91B94" w:rsidP="00C91B94">
      <w:pPr>
        <w:spacing w:line="276" w:lineRule="auto"/>
        <w:ind w:right="-94"/>
        <w:rPr>
          <w:rFonts w:cs="Adobe Arabic"/>
        </w:rPr>
      </w:pPr>
    </w:p>
    <w:p w14:paraId="059C6BE5" w14:textId="78F0791B" w:rsidR="00BA5ADE" w:rsidRPr="00BA5ADE" w:rsidRDefault="007D51FD" w:rsidP="00BA5ADE">
      <w:pPr>
        <w:spacing w:line="276" w:lineRule="auto"/>
        <w:rPr>
          <w:rFonts w:cs="Adobe Arabic"/>
          <w:b/>
        </w:rPr>
      </w:pPr>
      <w:r>
        <w:rPr>
          <w:b/>
        </w:rPr>
        <w:t>The VT 121 and VTC 1.4 from HEIDENHAIN: tool inspection like with a microscope</w:t>
      </w:r>
    </w:p>
    <w:p w14:paraId="150A2BDE" w14:textId="5D9CC700" w:rsidR="00553901" w:rsidRDefault="00BA5ADE" w:rsidP="00BA5ADE">
      <w:pPr>
        <w:spacing w:line="276" w:lineRule="auto"/>
        <w:ind w:right="-94"/>
      </w:pPr>
      <w:r>
        <w:t xml:space="preserve">The VT 121 vision system and the </w:t>
      </w:r>
      <w:r w:rsidR="00090766">
        <w:t>VTC </w:t>
      </w:r>
      <w:r>
        <w:t>1.4 software give machine operators a clear view of a tool’s teeth from within the machine envelope, imaging them on the monitor and measuring the amount of cutter wear, just like under a microscope. These solutions prevent costly damage to the tool, workpiece and machine, lowering tool costs over the long run through precise wear mitigation and saving both time and costs through in-process automated imaging.</w:t>
      </w:r>
    </w:p>
    <w:p w14:paraId="040791C5" w14:textId="47336C7A" w:rsidR="00BA5ADE" w:rsidRPr="00C91B94" w:rsidRDefault="00BA5ADE" w:rsidP="00BA5ADE">
      <w:pPr>
        <w:spacing w:line="276" w:lineRule="auto"/>
        <w:ind w:right="-94"/>
        <w:rPr>
          <w:rFonts w:cs="Adobe Arabic"/>
        </w:rPr>
      </w:pPr>
      <w:r>
        <w:t xml:space="preserve">For visual inspection, the </w:t>
      </w:r>
      <w:r w:rsidR="00090766">
        <w:t>VT </w:t>
      </w:r>
      <w:r>
        <w:t xml:space="preserve">121 camera creates close-up images of every tooth, with the option of a detailed panoramic image of the entire tool circumference. This is made possible by two on-board objectives with different viewing angles. The </w:t>
      </w:r>
      <w:r w:rsidR="00090766">
        <w:t>VT </w:t>
      </w:r>
      <w:r>
        <w:t xml:space="preserve">121 vision system and the </w:t>
      </w:r>
      <w:r w:rsidR="00090766">
        <w:t>VTC </w:t>
      </w:r>
      <w:r>
        <w:t>1.4 software therefore deliver wide-ranging capabilities when combined with cycles from the TNC control:</w:t>
      </w:r>
    </w:p>
    <w:p w14:paraId="316FDB07" w14:textId="22A59204" w:rsidR="00BA5ADE" w:rsidRPr="00BA5ADE" w:rsidRDefault="00BA5ADE" w:rsidP="00A32B93">
      <w:pPr>
        <w:pStyle w:val="Listenabsatz"/>
        <w:numPr>
          <w:ilvl w:val="0"/>
          <w:numId w:val="5"/>
        </w:numPr>
        <w:spacing w:after="0"/>
        <w:ind w:left="357" w:right="-96" w:hanging="357"/>
        <w:rPr>
          <w:rFonts w:ascii="Arial" w:hAnsi="Arial" w:cs="Arial"/>
        </w:rPr>
      </w:pPr>
      <w:r>
        <w:rPr>
          <w:rFonts w:ascii="Arial" w:hAnsi="Arial"/>
        </w:rPr>
        <w:t>Automation of tool testing on machines under development</w:t>
      </w:r>
    </w:p>
    <w:p w14:paraId="2B3278AE" w14:textId="136E3850" w:rsidR="00BA5ADE" w:rsidRPr="00BA5ADE" w:rsidRDefault="00BA5ADE" w:rsidP="00A32B93">
      <w:pPr>
        <w:pStyle w:val="Listenabsatz"/>
        <w:numPr>
          <w:ilvl w:val="0"/>
          <w:numId w:val="5"/>
        </w:numPr>
        <w:spacing w:after="0"/>
        <w:ind w:left="357" w:right="-96" w:hanging="357"/>
        <w:rPr>
          <w:rFonts w:ascii="Arial" w:hAnsi="Arial" w:cs="Arial"/>
        </w:rPr>
      </w:pPr>
      <w:r>
        <w:rPr>
          <w:rFonts w:ascii="Arial" w:hAnsi="Arial"/>
        </w:rPr>
        <w:t>Documentation of the tool condition and wear</w:t>
      </w:r>
    </w:p>
    <w:p w14:paraId="4A4C7C95" w14:textId="23707C79" w:rsidR="00BA5ADE" w:rsidRPr="00BA5ADE" w:rsidRDefault="00BA5ADE" w:rsidP="00A32B93">
      <w:pPr>
        <w:pStyle w:val="Listenabsatz"/>
        <w:numPr>
          <w:ilvl w:val="0"/>
          <w:numId w:val="5"/>
        </w:numPr>
        <w:spacing w:after="0"/>
        <w:ind w:left="357" w:right="-96" w:hanging="357"/>
        <w:rPr>
          <w:rFonts w:ascii="Arial" w:hAnsi="Arial" w:cs="Arial"/>
        </w:rPr>
      </w:pPr>
      <w:r>
        <w:rPr>
          <w:rFonts w:ascii="Arial" w:hAnsi="Arial"/>
        </w:rPr>
        <w:t>Automation of breakage inspection and the locking damaged tools</w:t>
      </w:r>
    </w:p>
    <w:p w14:paraId="73544401" w14:textId="16AB05BC" w:rsidR="00BA5ADE" w:rsidRPr="00BA5ADE" w:rsidRDefault="00BA5ADE" w:rsidP="00A32B93">
      <w:pPr>
        <w:pStyle w:val="Listenabsatz"/>
        <w:numPr>
          <w:ilvl w:val="0"/>
          <w:numId w:val="5"/>
        </w:numPr>
        <w:spacing w:after="0"/>
        <w:ind w:left="357" w:right="-96" w:hanging="357"/>
        <w:rPr>
          <w:rFonts w:ascii="Arial" w:hAnsi="Arial" w:cs="Arial"/>
        </w:rPr>
      </w:pPr>
      <w:r>
        <w:rPr>
          <w:rFonts w:ascii="Arial" w:hAnsi="Arial"/>
        </w:rPr>
        <w:t>Ensuring proper tool condition prior to critical machining steps</w:t>
      </w:r>
    </w:p>
    <w:p w14:paraId="02C1DF71" w14:textId="2C1A8FA9" w:rsidR="00BA5ADE" w:rsidRPr="00BA5ADE" w:rsidRDefault="00BA5ADE" w:rsidP="00A32B93">
      <w:pPr>
        <w:pStyle w:val="Listenabsatz"/>
        <w:numPr>
          <w:ilvl w:val="0"/>
          <w:numId w:val="5"/>
        </w:numPr>
        <w:spacing w:after="0"/>
        <w:ind w:left="357" w:right="-96" w:hanging="357"/>
        <w:rPr>
          <w:rFonts w:ascii="Arial" w:hAnsi="Arial" w:cs="Arial"/>
        </w:rPr>
      </w:pPr>
      <w:r>
        <w:rPr>
          <w:rFonts w:ascii="Arial" w:hAnsi="Arial"/>
        </w:rPr>
        <w:t>Checking the actual condition of the tool after expiration of its planned service life</w:t>
      </w:r>
    </w:p>
    <w:p w14:paraId="62A595F1" w14:textId="32FBFE33" w:rsidR="00BA5ADE" w:rsidRPr="00BA5ADE" w:rsidRDefault="00650E4D" w:rsidP="00A32B93">
      <w:pPr>
        <w:pStyle w:val="Listenabsatz"/>
        <w:numPr>
          <w:ilvl w:val="0"/>
          <w:numId w:val="5"/>
        </w:numPr>
        <w:spacing w:after="0"/>
        <w:ind w:left="357" w:right="-96" w:hanging="357"/>
        <w:rPr>
          <w:rFonts w:ascii="Arial" w:hAnsi="Arial" w:cs="Arial"/>
        </w:rPr>
      </w:pPr>
      <w:r>
        <w:rPr>
          <w:rFonts w:ascii="Arial" w:hAnsi="Arial"/>
        </w:rPr>
        <w:t>Analysis of the results, along with optimization of cutting parameters and part programs</w:t>
      </w:r>
    </w:p>
    <w:p w14:paraId="44713D5C" w14:textId="77777777" w:rsidR="00BA5ADE" w:rsidRPr="00C91B94" w:rsidRDefault="00BA5ADE" w:rsidP="00BA5ADE">
      <w:pPr>
        <w:spacing w:line="276" w:lineRule="auto"/>
        <w:ind w:right="-94"/>
        <w:rPr>
          <w:rFonts w:cs="Adobe Arabic"/>
        </w:rPr>
      </w:pPr>
    </w:p>
    <w:p w14:paraId="42EE8C3A" w14:textId="3119DE4F" w:rsidR="00C91B94" w:rsidRPr="00BA5ADE" w:rsidRDefault="007D51FD" w:rsidP="00BA5ADE">
      <w:pPr>
        <w:spacing w:line="276" w:lineRule="auto"/>
        <w:rPr>
          <w:rFonts w:cs="Adobe Arabic"/>
          <w:b/>
        </w:rPr>
      </w:pPr>
      <w:r>
        <w:rPr>
          <w:b/>
        </w:rPr>
        <w:t>Tool data management with HEIDENHAIN: synchronize tool data</w:t>
      </w:r>
    </w:p>
    <w:p w14:paraId="459F2DDD" w14:textId="05C6A55D" w:rsidR="00C91B94" w:rsidRPr="00C91B94" w:rsidRDefault="00C91B94" w:rsidP="00C91B94">
      <w:pPr>
        <w:spacing w:line="276" w:lineRule="auto"/>
        <w:ind w:right="-94"/>
        <w:rPr>
          <w:rFonts w:cs="Adobe Arabic"/>
        </w:rPr>
      </w:pPr>
      <w:r>
        <w:t xml:space="preserve">Data about the tools in use are generated and needed by users at multiple points along the production process. A synchronized data pool obviously </w:t>
      </w:r>
      <w:r w:rsidR="007C3C36">
        <w:t xml:space="preserve">has </w:t>
      </w:r>
      <w:r>
        <w:t>numerous benefits:</w:t>
      </w:r>
    </w:p>
    <w:p w14:paraId="06AF5EC4" w14:textId="2337376F" w:rsidR="00C91B94" w:rsidRPr="00BA5ADE" w:rsidRDefault="00C91B94" w:rsidP="00A32B93">
      <w:pPr>
        <w:pStyle w:val="Listenabsatz"/>
        <w:numPr>
          <w:ilvl w:val="0"/>
          <w:numId w:val="5"/>
        </w:numPr>
        <w:spacing w:after="0"/>
        <w:ind w:left="357" w:right="-96" w:hanging="357"/>
        <w:rPr>
          <w:rFonts w:ascii="Arial" w:hAnsi="Arial" w:cs="Arial"/>
        </w:rPr>
      </w:pPr>
      <w:r>
        <w:rPr>
          <w:rFonts w:ascii="Arial" w:hAnsi="Arial"/>
        </w:rPr>
        <w:t>The unique identification of the tools prevents mix-ups and increases process reliability</w:t>
      </w:r>
    </w:p>
    <w:p w14:paraId="10D332C3" w14:textId="449FC08A" w:rsidR="00C91B94" w:rsidRPr="00BA5ADE" w:rsidRDefault="00C91B94" w:rsidP="00A32B93">
      <w:pPr>
        <w:pStyle w:val="Listenabsatz"/>
        <w:numPr>
          <w:ilvl w:val="0"/>
          <w:numId w:val="5"/>
        </w:numPr>
        <w:spacing w:after="0"/>
        <w:ind w:left="357" w:right="-96" w:hanging="357"/>
        <w:rPr>
          <w:rFonts w:ascii="Arial" w:hAnsi="Arial" w:cs="Arial"/>
        </w:rPr>
      </w:pPr>
      <w:r>
        <w:rPr>
          <w:rFonts w:ascii="Arial" w:hAnsi="Arial"/>
        </w:rPr>
        <w:t>Consistent data about the tool is available on all machines</w:t>
      </w:r>
    </w:p>
    <w:p w14:paraId="114F271A" w14:textId="1795642F" w:rsidR="00C91B94" w:rsidRPr="00BA5ADE" w:rsidRDefault="00BA5ADE" w:rsidP="00A32B93">
      <w:pPr>
        <w:pStyle w:val="Listenabsatz"/>
        <w:numPr>
          <w:ilvl w:val="0"/>
          <w:numId w:val="5"/>
        </w:numPr>
        <w:spacing w:after="0"/>
        <w:ind w:left="357" w:right="-96" w:hanging="357"/>
        <w:rPr>
          <w:rFonts w:ascii="Arial" w:hAnsi="Arial" w:cs="Arial"/>
        </w:rPr>
      </w:pPr>
      <w:r>
        <w:rPr>
          <w:rFonts w:ascii="Arial" w:hAnsi="Arial"/>
        </w:rPr>
        <w:t>The user always has an overview of where each tool is located</w:t>
      </w:r>
    </w:p>
    <w:p w14:paraId="249BD621" w14:textId="1EB39F8D" w:rsidR="00C91B94" w:rsidRPr="00BA5ADE" w:rsidRDefault="00BA5ADE" w:rsidP="00A32B93">
      <w:pPr>
        <w:pStyle w:val="Listenabsatz"/>
        <w:numPr>
          <w:ilvl w:val="0"/>
          <w:numId w:val="5"/>
        </w:numPr>
        <w:spacing w:after="0"/>
        <w:ind w:left="357" w:right="-96" w:hanging="357"/>
        <w:rPr>
          <w:rFonts w:ascii="Arial" w:hAnsi="Arial" w:cs="Arial"/>
        </w:rPr>
      </w:pPr>
      <w:r>
        <w:rPr>
          <w:rFonts w:ascii="Arial" w:hAnsi="Arial"/>
        </w:rPr>
        <w:t>The user can check each tool’s service life in real-time</w:t>
      </w:r>
    </w:p>
    <w:p w14:paraId="6270DEBB" w14:textId="38F8288B" w:rsidR="00C91B94" w:rsidRDefault="00C91B94" w:rsidP="00C91B94">
      <w:pPr>
        <w:spacing w:line="276" w:lineRule="auto"/>
        <w:ind w:right="-94"/>
      </w:pPr>
      <w:r>
        <w:t xml:space="preserve">The ETDM external tool data management system for the </w:t>
      </w:r>
      <w:r w:rsidR="007C3C36">
        <w:t>TNC </w:t>
      </w:r>
      <w:r>
        <w:t>640 and TNC7 controls enable</w:t>
      </w:r>
      <w:r w:rsidR="007C3C36">
        <w:t>s</w:t>
      </w:r>
      <w:r>
        <w:t xml:space="preserve"> the connection of any external web-service-</w:t>
      </w:r>
      <w:r w:rsidR="007C3C36">
        <w:t xml:space="preserve">capable </w:t>
      </w:r>
      <w:r>
        <w:t xml:space="preserve">databases with the control’s local tool table. This can be implemented at any time through the PLC Programming helpline of the HEIDENHAIN Service team, even for older machines. The data of most tool </w:t>
      </w:r>
      <w:proofErr w:type="spellStart"/>
      <w:r>
        <w:t>presetters</w:t>
      </w:r>
      <w:proofErr w:type="spellEnd"/>
      <w:r>
        <w:t>, for example, can be transferred and utilized. The data is exchanged via the corporate network after the user has identified the tool on the control using its unique code on the tool holder (a barcode, QR</w:t>
      </w:r>
      <w:r w:rsidR="007C3C36">
        <w:t xml:space="preserve"> </w:t>
      </w:r>
      <w:r>
        <w:t xml:space="preserve">code or </w:t>
      </w:r>
      <w:proofErr w:type="spellStart"/>
      <w:r>
        <w:t>DataMatrix</w:t>
      </w:r>
      <w:proofErr w:type="spellEnd"/>
      <w:r>
        <w:t xml:space="preserve"> code) or via an RFID chip.</w:t>
      </w:r>
    </w:p>
    <w:p w14:paraId="233837B0" w14:textId="7CF91EED" w:rsidR="002445A6" w:rsidRDefault="002445A6" w:rsidP="00C91B94">
      <w:pPr>
        <w:spacing w:line="276" w:lineRule="auto"/>
        <w:ind w:right="-94"/>
      </w:pPr>
    </w:p>
    <w:p w14:paraId="7C2469B2" w14:textId="1BF7DEC2" w:rsidR="002445A6" w:rsidRDefault="002445A6">
      <w:r>
        <w:br w:type="page"/>
      </w: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5525C" w:rsidRPr="00334FD7" w14:paraId="755D9DBD" w14:textId="77777777" w:rsidTr="00281C45">
        <w:tc>
          <w:tcPr>
            <w:tcW w:w="4677" w:type="dxa"/>
            <w:vAlign w:val="bottom"/>
          </w:tcPr>
          <w:p w14:paraId="35F0145E" w14:textId="76A23B07" w:rsidR="0035525C" w:rsidRPr="00334FD7" w:rsidRDefault="00553901" w:rsidP="00BA48BF">
            <w:pPr>
              <w:spacing w:line="276" w:lineRule="auto"/>
              <w:rPr>
                <w:rFonts w:cs="Adobe Arabic"/>
                <w:noProof/>
              </w:rPr>
            </w:pPr>
            <w:r>
              <w:rPr>
                <w:noProof/>
              </w:rPr>
              <w:drawing>
                <wp:inline distT="0" distB="0" distL="0" distR="0" wp14:anchorId="48BF7E5E" wp14:editId="3D6E00C5">
                  <wp:extent cx="2861945" cy="16097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1945" cy="1609725"/>
                          </a:xfrm>
                          <a:prstGeom prst="rect">
                            <a:avLst/>
                          </a:prstGeom>
                        </pic:spPr>
                      </pic:pic>
                    </a:graphicData>
                  </a:graphic>
                </wp:inline>
              </w:drawing>
            </w:r>
          </w:p>
        </w:tc>
        <w:tc>
          <w:tcPr>
            <w:tcW w:w="4677" w:type="dxa"/>
            <w:vAlign w:val="bottom"/>
          </w:tcPr>
          <w:p w14:paraId="564A2440" w14:textId="3F49EA5F" w:rsidR="0035525C" w:rsidRPr="00334FD7" w:rsidRDefault="000229C0" w:rsidP="00D147B8">
            <w:pPr>
              <w:spacing w:line="276" w:lineRule="auto"/>
              <w:rPr>
                <w:rFonts w:cs="Adobe Arabic"/>
                <w:i/>
              </w:rPr>
            </w:pPr>
            <w:r>
              <w:rPr>
                <w:i/>
              </w:rPr>
              <w:t>The TD 110 tool breakage detector from HEIDENHAIN can even inspect micro-tools for possible damage directly in the work envelope and at rapid traverse.</w:t>
            </w:r>
          </w:p>
        </w:tc>
      </w:tr>
      <w:tr w:rsidR="00A84B3D" w:rsidRPr="00334FD7" w14:paraId="3405BFA2" w14:textId="77777777" w:rsidTr="00281C45">
        <w:tc>
          <w:tcPr>
            <w:tcW w:w="4677" w:type="dxa"/>
            <w:vAlign w:val="bottom"/>
          </w:tcPr>
          <w:p w14:paraId="23794A7B" w14:textId="04F39B36" w:rsidR="00A84B3D" w:rsidRPr="00334FD7" w:rsidRDefault="00790BE4" w:rsidP="00BA48BF">
            <w:pPr>
              <w:spacing w:line="276" w:lineRule="auto"/>
              <w:rPr>
                <w:rFonts w:cs="Adobe Arabic"/>
              </w:rPr>
            </w:pPr>
            <w:r>
              <w:rPr>
                <w:noProof/>
              </w:rPr>
              <w:drawing>
                <wp:inline distT="0" distB="0" distL="0" distR="0" wp14:anchorId="589E7B23" wp14:editId="1FA480F3">
                  <wp:extent cx="2856230" cy="248856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6230" cy="2488565"/>
                          </a:xfrm>
                          <a:prstGeom prst="rect">
                            <a:avLst/>
                          </a:prstGeom>
                          <a:noFill/>
                          <a:ln>
                            <a:noFill/>
                          </a:ln>
                        </pic:spPr>
                      </pic:pic>
                    </a:graphicData>
                  </a:graphic>
                </wp:inline>
              </w:drawing>
            </w:r>
          </w:p>
        </w:tc>
        <w:tc>
          <w:tcPr>
            <w:tcW w:w="4677" w:type="dxa"/>
            <w:vAlign w:val="bottom"/>
          </w:tcPr>
          <w:p w14:paraId="7F2B1D08" w14:textId="0CF47FC0" w:rsidR="00A84B3D" w:rsidRPr="00334FD7" w:rsidRDefault="00196372" w:rsidP="004F226A">
            <w:pPr>
              <w:spacing w:line="276" w:lineRule="auto"/>
              <w:rPr>
                <w:rFonts w:cs="Adobe Arabic"/>
                <w:i/>
              </w:rPr>
            </w:pPr>
            <w:r>
              <w:rPr>
                <w:i/>
              </w:rPr>
              <w:t xml:space="preserve">From within the machine envelope, the </w:t>
            </w:r>
            <w:r w:rsidR="007C3C36">
              <w:rPr>
                <w:i/>
              </w:rPr>
              <w:t>VT </w:t>
            </w:r>
            <w:r>
              <w:rPr>
                <w:i/>
              </w:rPr>
              <w:t xml:space="preserve">121 vision system and the </w:t>
            </w:r>
            <w:r w:rsidR="007C3C36">
              <w:rPr>
                <w:i/>
              </w:rPr>
              <w:t>VTC </w:t>
            </w:r>
            <w:r>
              <w:rPr>
                <w:i/>
              </w:rPr>
              <w:t>1.4 software from HEIDENHAIN provide an immediate image of a tool’s teeth on the monitor of the TNC control, enabling microscope-like inspection for greater process reliability.</w:t>
            </w:r>
          </w:p>
        </w:tc>
      </w:tr>
      <w:tr w:rsidR="00025E64" w:rsidRPr="00334FD7" w14:paraId="5FCEF515" w14:textId="77777777" w:rsidTr="00025E64">
        <w:tblPrEx>
          <w:tblCellMar>
            <w:left w:w="0" w:type="dxa"/>
            <w:right w:w="0" w:type="dxa"/>
          </w:tblCellMar>
        </w:tblPrEx>
        <w:tc>
          <w:tcPr>
            <w:tcW w:w="4678" w:type="dxa"/>
          </w:tcPr>
          <w:p w14:paraId="49A9FBC9" w14:textId="77777777" w:rsidR="00025E64" w:rsidRPr="00025E64" w:rsidRDefault="00025E64" w:rsidP="00025E64">
            <w:pPr>
              <w:autoSpaceDE w:val="0"/>
              <w:autoSpaceDN w:val="0"/>
              <w:adjustRightInd w:val="0"/>
              <w:spacing w:line="276" w:lineRule="auto"/>
              <w:rPr>
                <w:rFonts w:cs="Arial"/>
                <w:b/>
                <w:i/>
                <w:iCs/>
                <w:sz w:val="20"/>
                <w:szCs w:val="20"/>
              </w:rPr>
            </w:pPr>
          </w:p>
          <w:p w14:paraId="192D380C" w14:textId="2AEB0CBD" w:rsidR="00025E64" w:rsidRPr="00334FD7" w:rsidRDefault="00025E64" w:rsidP="00025E64">
            <w:pPr>
              <w:autoSpaceDE w:val="0"/>
              <w:autoSpaceDN w:val="0"/>
              <w:adjustRightInd w:val="0"/>
              <w:spacing w:line="276" w:lineRule="auto"/>
              <w:rPr>
                <w:rFonts w:cs="Arial"/>
                <w:b/>
                <w:i/>
                <w:iCs/>
                <w:sz w:val="20"/>
                <w:szCs w:val="20"/>
              </w:rPr>
            </w:pPr>
            <w:r>
              <w:rPr>
                <w:b/>
                <w:i/>
                <w:sz w:val="20"/>
              </w:rPr>
              <w:t>For more information, visit:</w:t>
            </w:r>
          </w:p>
          <w:p w14:paraId="76CBD8A8" w14:textId="165469B5" w:rsidR="00025E64" w:rsidRPr="00334FD7" w:rsidRDefault="00025E64" w:rsidP="00025E64">
            <w:pPr>
              <w:autoSpaceDE w:val="0"/>
              <w:autoSpaceDN w:val="0"/>
              <w:adjustRightInd w:val="0"/>
              <w:spacing w:line="276" w:lineRule="auto"/>
              <w:rPr>
                <w:rStyle w:val="Hyperlink"/>
                <w:rFonts w:cs="Arial"/>
                <w:iCs/>
                <w:sz w:val="20"/>
                <w:szCs w:val="20"/>
              </w:rPr>
            </w:pPr>
            <w:r>
              <w:rPr>
                <w:rStyle w:val="Hyperlink"/>
                <w:sz w:val="20"/>
              </w:rPr>
              <w:t>live.</w:t>
            </w:r>
            <w:hyperlink r:id="rId10" w:history="1">
              <w:r>
                <w:rPr>
                  <w:rStyle w:val="Hyperlink"/>
                  <w:sz w:val="20"/>
                </w:rPr>
                <w:t>heidenhain</w:t>
              </w:r>
            </w:hyperlink>
            <w:r>
              <w:rPr>
                <w:rStyle w:val="Hyperlink"/>
                <w:sz w:val="20"/>
              </w:rPr>
              <w:t>.com</w:t>
            </w:r>
          </w:p>
          <w:p w14:paraId="05439CFF" w14:textId="77777777" w:rsidR="00025E64" w:rsidRPr="00334FD7" w:rsidRDefault="00025E64" w:rsidP="00025E64">
            <w:pPr>
              <w:autoSpaceDE w:val="0"/>
              <w:autoSpaceDN w:val="0"/>
              <w:adjustRightInd w:val="0"/>
              <w:spacing w:line="276" w:lineRule="auto"/>
              <w:rPr>
                <w:rStyle w:val="Hyperlink"/>
                <w:rFonts w:cs="Arial"/>
                <w:iCs/>
                <w:sz w:val="20"/>
                <w:szCs w:val="20"/>
              </w:rPr>
            </w:pPr>
            <w:r>
              <w:rPr>
                <w:rStyle w:val="Hyperlink"/>
                <w:sz w:val="20"/>
              </w:rPr>
              <w:t>www.heidenhain.com/tnc7</w:t>
            </w:r>
          </w:p>
          <w:p w14:paraId="0DEA8EC6" w14:textId="1AD59F00" w:rsidR="00025E64" w:rsidRPr="00334FD7" w:rsidRDefault="00513EC7" w:rsidP="00025E64">
            <w:pPr>
              <w:autoSpaceDE w:val="0"/>
              <w:autoSpaceDN w:val="0"/>
              <w:adjustRightInd w:val="0"/>
              <w:spacing w:line="276" w:lineRule="auto"/>
              <w:rPr>
                <w:rStyle w:val="Hyperlink"/>
                <w:rFonts w:cs="Arial"/>
                <w:iCs/>
                <w:sz w:val="20"/>
                <w:szCs w:val="20"/>
              </w:rPr>
            </w:pPr>
            <w:hyperlink r:id="rId11" w:history="1">
              <w:r w:rsidR="007C3C36" w:rsidRPr="007C3C36">
                <w:rPr>
                  <w:rStyle w:val="Hyperlink"/>
                  <w:sz w:val="20"/>
                </w:rPr>
                <w:t>www.heidenhain.com</w:t>
              </w:r>
            </w:hyperlink>
          </w:p>
          <w:p w14:paraId="7A73F4E1" w14:textId="77777777" w:rsidR="00025E64" w:rsidRDefault="00025E64" w:rsidP="00025E64">
            <w:pPr>
              <w:tabs>
                <w:tab w:val="left" w:pos="1317"/>
              </w:tabs>
              <w:autoSpaceDE w:val="0"/>
              <w:autoSpaceDN w:val="0"/>
              <w:adjustRightInd w:val="0"/>
              <w:spacing w:line="276" w:lineRule="auto"/>
              <w:rPr>
                <w:rFonts w:cs="Arial"/>
                <w:iCs/>
                <w:sz w:val="20"/>
                <w:szCs w:val="20"/>
              </w:rPr>
            </w:pPr>
          </w:p>
          <w:p w14:paraId="4D86495C" w14:textId="77777777" w:rsidR="00025E64" w:rsidRPr="00334FD7" w:rsidRDefault="00025E64" w:rsidP="00025E64">
            <w:pPr>
              <w:tabs>
                <w:tab w:val="left" w:pos="1317"/>
              </w:tabs>
              <w:autoSpaceDE w:val="0"/>
              <w:autoSpaceDN w:val="0"/>
              <w:adjustRightInd w:val="0"/>
              <w:spacing w:line="276" w:lineRule="auto"/>
              <w:rPr>
                <w:rFonts w:cs="Arial"/>
                <w:iCs/>
                <w:sz w:val="20"/>
                <w:szCs w:val="20"/>
              </w:rPr>
            </w:pPr>
          </w:p>
        </w:tc>
        <w:tc>
          <w:tcPr>
            <w:tcW w:w="4676" w:type="dxa"/>
          </w:tcPr>
          <w:p w14:paraId="33B91E5F" w14:textId="77777777" w:rsidR="00025E64" w:rsidRPr="00334FD7" w:rsidRDefault="00025E64" w:rsidP="00025E64">
            <w:pPr>
              <w:spacing w:line="276" w:lineRule="auto"/>
              <w:rPr>
                <w:rFonts w:cs="Arial"/>
                <w:b/>
                <w:color w:val="333333"/>
                <w:szCs w:val="18"/>
                <w:shd w:val="clear" w:color="auto" w:fill="FFFFFF"/>
              </w:rPr>
            </w:pPr>
          </w:p>
        </w:tc>
      </w:tr>
      <w:tr w:rsidR="00025E64" w:rsidRPr="003D4CB9" w14:paraId="14CF9CC1" w14:textId="77777777" w:rsidTr="00025E64">
        <w:tblPrEx>
          <w:tblCellMar>
            <w:left w:w="0" w:type="dxa"/>
            <w:right w:w="0" w:type="dxa"/>
          </w:tblCellMar>
        </w:tblPrEx>
        <w:tc>
          <w:tcPr>
            <w:tcW w:w="4678" w:type="dxa"/>
          </w:tcPr>
          <w:p w14:paraId="219D06EA" w14:textId="77777777" w:rsidR="00025E64" w:rsidRPr="00334FD7" w:rsidRDefault="00025E64" w:rsidP="00025E64">
            <w:pPr>
              <w:autoSpaceDE w:val="0"/>
              <w:autoSpaceDN w:val="0"/>
              <w:adjustRightInd w:val="0"/>
              <w:spacing w:line="276" w:lineRule="auto"/>
              <w:rPr>
                <w:rFonts w:cs="Arial"/>
                <w:b/>
                <w:i/>
                <w:iCs/>
                <w:sz w:val="20"/>
                <w:szCs w:val="20"/>
              </w:rPr>
            </w:pPr>
            <w:r>
              <w:rPr>
                <w:b/>
                <w:i/>
                <w:sz w:val="20"/>
              </w:rPr>
              <w:t>Contact persons for the trade press:</w:t>
            </w:r>
          </w:p>
          <w:p w14:paraId="201F0225" w14:textId="77777777" w:rsidR="00025E64" w:rsidRPr="00285476" w:rsidRDefault="00025E64" w:rsidP="00025E64">
            <w:pPr>
              <w:autoSpaceDE w:val="0"/>
              <w:autoSpaceDN w:val="0"/>
              <w:adjustRightInd w:val="0"/>
              <w:spacing w:line="276" w:lineRule="auto"/>
              <w:rPr>
                <w:rFonts w:cs="Arial"/>
                <w:sz w:val="20"/>
                <w:szCs w:val="20"/>
                <w:lang w:val="de-DE"/>
              </w:rPr>
            </w:pPr>
            <w:r w:rsidRPr="00285476">
              <w:rPr>
                <w:sz w:val="20"/>
                <w:lang w:val="de-DE"/>
              </w:rPr>
              <w:t>Frank Muthmann</w:t>
            </w:r>
          </w:p>
          <w:p w14:paraId="60A215B0" w14:textId="5C219295" w:rsidR="00025E64" w:rsidRPr="00285476" w:rsidRDefault="00025E64" w:rsidP="00025E64">
            <w:pPr>
              <w:autoSpaceDE w:val="0"/>
              <w:autoSpaceDN w:val="0"/>
              <w:adjustRightInd w:val="0"/>
              <w:spacing w:line="276" w:lineRule="auto"/>
              <w:rPr>
                <w:rFonts w:cs="Arial"/>
                <w:sz w:val="20"/>
                <w:szCs w:val="20"/>
                <w:lang w:val="de-DE"/>
              </w:rPr>
            </w:pPr>
            <w:r w:rsidRPr="00285476">
              <w:rPr>
                <w:sz w:val="20"/>
                <w:lang w:val="de-DE"/>
              </w:rPr>
              <w:t>DR. JOHANNES HEIDENHAIN GmbH</w:t>
            </w:r>
          </w:p>
          <w:p w14:paraId="0F014E13" w14:textId="7D3FB9CE" w:rsidR="00806A90" w:rsidRPr="00285476" w:rsidRDefault="00806A90" w:rsidP="00025E64">
            <w:pPr>
              <w:autoSpaceDE w:val="0"/>
              <w:autoSpaceDN w:val="0"/>
              <w:adjustRightInd w:val="0"/>
              <w:spacing w:line="276" w:lineRule="auto"/>
              <w:rPr>
                <w:rFonts w:cs="Arial"/>
                <w:sz w:val="20"/>
                <w:szCs w:val="20"/>
                <w:lang w:val="de-DE"/>
              </w:rPr>
            </w:pPr>
            <w:r w:rsidRPr="00285476">
              <w:rPr>
                <w:sz w:val="20"/>
                <w:lang w:val="de-DE"/>
              </w:rPr>
              <w:t>Dr.-Johannes-Heidenhain-Straße 5</w:t>
            </w:r>
          </w:p>
          <w:p w14:paraId="4526EF62" w14:textId="237F0CFA" w:rsidR="00025E64" w:rsidRPr="00285476" w:rsidRDefault="00025E64" w:rsidP="00025E64">
            <w:pPr>
              <w:autoSpaceDE w:val="0"/>
              <w:autoSpaceDN w:val="0"/>
              <w:adjustRightInd w:val="0"/>
              <w:spacing w:line="276" w:lineRule="auto"/>
              <w:rPr>
                <w:rFonts w:cs="Arial"/>
                <w:sz w:val="20"/>
                <w:szCs w:val="20"/>
                <w:lang w:val="de-DE"/>
              </w:rPr>
            </w:pPr>
            <w:r w:rsidRPr="00285476">
              <w:rPr>
                <w:sz w:val="20"/>
                <w:lang w:val="de-DE"/>
              </w:rPr>
              <w:t>83301 Traunreut, GERMANY</w:t>
            </w:r>
          </w:p>
          <w:p w14:paraId="01BA5268" w14:textId="77777777" w:rsidR="00025E64" w:rsidRPr="00334FD7" w:rsidRDefault="00025E64" w:rsidP="00025E64">
            <w:pPr>
              <w:autoSpaceDE w:val="0"/>
              <w:autoSpaceDN w:val="0"/>
              <w:adjustRightInd w:val="0"/>
              <w:spacing w:line="276" w:lineRule="auto"/>
              <w:rPr>
                <w:rFonts w:cs="Arial"/>
                <w:sz w:val="20"/>
                <w:szCs w:val="20"/>
              </w:rPr>
            </w:pPr>
            <w:r>
              <w:rPr>
                <w:sz w:val="20"/>
              </w:rPr>
              <w:t>Tel.: +49 8669 31-2188</w:t>
            </w:r>
          </w:p>
          <w:p w14:paraId="63F7FE0D" w14:textId="77777777" w:rsidR="00025E64" w:rsidRPr="00334FD7" w:rsidRDefault="00513EC7" w:rsidP="00025E64">
            <w:pPr>
              <w:autoSpaceDE w:val="0"/>
              <w:autoSpaceDN w:val="0"/>
              <w:adjustRightInd w:val="0"/>
              <w:spacing w:line="276" w:lineRule="auto"/>
              <w:rPr>
                <w:rFonts w:cs="Arial"/>
                <w:color w:val="0000FF"/>
                <w:sz w:val="20"/>
                <w:szCs w:val="20"/>
                <w:u w:val="single"/>
              </w:rPr>
            </w:pPr>
            <w:hyperlink r:id="rId12" w:history="1">
              <w:r w:rsidR="007A367E">
                <w:rPr>
                  <w:rStyle w:val="Hyperlink"/>
                  <w:sz w:val="20"/>
                </w:rPr>
                <w:t>muthmann@heidenhain.de</w:t>
              </w:r>
            </w:hyperlink>
          </w:p>
        </w:tc>
        <w:tc>
          <w:tcPr>
            <w:tcW w:w="4676" w:type="dxa"/>
          </w:tcPr>
          <w:p w14:paraId="3BDA2140" w14:textId="77777777" w:rsidR="00025E64" w:rsidRPr="00285476" w:rsidRDefault="00025E64" w:rsidP="00025E64">
            <w:pPr>
              <w:autoSpaceDE w:val="0"/>
              <w:autoSpaceDN w:val="0"/>
              <w:adjustRightInd w:val="0"/>
              <w:spacing w:line="276" w:lineRule="auto"/>
              <w:rPr>
                <w:rFonts w:cs="Arial"/>
                <w:sz w:val="20"/>
                <w:szCs w:val="20"/>
                <w:lang w:val="de-DE"/>
              </w:rPr>
            </w:pPr>
          </w:p>
          <w:p w14:paraId="3A3A6DA4" w14:textId="77777777" w:rsidR="00025E64" w:rsidRPr="00285476" w:rsidRDefault="00025E64" w:rsidP="00025E64">
            <w:pPr>
              <w:autoSpaceDE w:val="0"/>
              <w:autoSpaceDN w:val="0"/>
              <w:adjustRightInd w:val="0"/>
              <w:spacing w:line="276" w:lineRule="auto"/>
              <w:rPr>
                <w:rFonts w:cs="Arial"/>
                <w:sz w:val="20"/>
                <w:szCs w:val="20"/>
                <w:lang w:val="de-DE"/>
              </w:rPr>
            </w:pPr>
            <w:r w:rsidRPr="00285476">
              <w:rPr>
                <w:sz w:val="20"/>
                <w:lang w:val="de-DE"/>
              </w:rPr>
              <w:t>Ulrich Poestgens</w:t>
            </w:r>
          </w:p>
          <w:p w14:paraId="6E8CFACD" w14:textId="77777777" w:rsidR="00025E64" w:rsidRPr="00285476" w:rsidRDefault="00025E64" w:rsidP="00025E64">
            <w:pPr>
              <w:autoSpaceDE w:val="0"/>
              <w:autoSpaceDN w:val="0"/>
              <w:adjustRightInd w:val="0"/>
              <w:spacing w:line="276" w:lineRule="auto"/>
              <w:rPr>
                <w:rFonts w:cs="Arial"/>
                <w:sz w:val="20"/>
                <w:szCs w:val="20"/>
                <w:lang w:val="de-DE"/>
              </w:rPr>
            </w:pPr>
            <w:r w:rsidRPr="00285476">
              <w:rPr>
                <w:sz w:val="20"/>
                <w:lang w:val="de-DE"/>
              </w:rPr>
              <w:t>DR. JOHANNES HEIDENHAIN GmbH</w:t>
            </w:r>
          </w:p>
          <w:p w14:paraId="123B0E85" w14:textId="77777777" w:rsidR="00806A90" w:rsidRPr="00285476" w:rsidRDefault="00806A90" w:rsidP="00806A90">
            <w:pPr>
              <w:autoSpaceDE w:val="0"/>
              <w:autoSpaceDN w:val="0"/>
              <w:adjustRightInd w:val="0"/>
              <w:spacing w:line="276" w:lineRule="auto"/>
              <w:rPr>
                <w:rFonts w:cs="Arial"/>
                <w:sz w:val="20"/>
                <w:szCs w:val="20"/>
                <w:lang w:val="de-DE"/>
              </w:rPr>
            </w:pPr>
            <w:r w:rsidRPr="00285476">
              <w:rPr>
                <w:sz w:val="20"/>
                <w:lang w:val="de-DE"/>
              </w:rPr>
              <w:t>Dr.-Johannes-Heidenhain-Straße 5</w:t>
            </w:r>
          </w:p>
          <w:p w14:paraId="7EA8C606" w14:textId="77777777" w:rsidR="00806A90" w:rsidRPr="00285476" w:rsidRDefault="00806A90" w:rsidP="00806A90">
            <w:pPr>
              <w:autoSpaceDE w:val="0"/>
              <w:autoSpaceDN w:val="0"/>
              <w:adjustRightInd w:val="0"/>
              <w:spacing w:line="276" w:lineRule="auto"/>
              <w:rPr>
                <w:rFonts w:cs="Arial"/>
                <w:sz w:val="20"/>
                <w:szCs w:val="20"/>
                <w:lang w:val="de-DE"/>
              </w:rPr>
            </w:pPr>
            <w:r w:rsidRPr="00285476">
              <w:rPr>
                <w:sz w:val="20"/>
                <w:lang w:val="de-DE"/>
              </w:rPr>
              <w:t>83301 Traunreut, GERMANY</w:t>
            </w:r>
          </w:p>
          <w:p w14:paraId="5C7E78E8" w14:textId="77777777" w:rsidR="00025E64" w:rsidRPr="00334FD7" w:rsidRDefault="00025E64" w:rsidP="00025E64">
            <w:pPr>
              <w:autoSpaceDE w:val="0"/>
              <w:autoSpaceDN w:val="0"/>
              <w:adjustRightInd w:val="0"/>
              <w:spacing w:line="276" w:lineRule="auto"/>
              <w:rPr>
                <w:rFonts w:cs="Arial"/>
                <w:sz w:val="20"/>
                <w:szCs w:val="20"/>
              </w:rPr>
            </w:pPr>
            <w:r>
              <w:rPr>
                <w:sz w:val="20"/>
              </w:rPr>
              <w:t>Tel.: +49 8669 31-4154</w:t>
            </w:r>
          </w:p>
          <w:p w14:paraId="7AF14421" w14:textId="77777777" w:rsidR="00025E64" w:rsidRPr="00696528" w:rsidRDefault="00513EC7" w:rsidP="00025E64">
            <w:pPr>
              <w:autoSpaceDE w:val="0"/>
              <w:autoSpaceDN w:val="0"/>
              <w:adjustRightInd w:val="0"/>
              <w:spacing w:line="276" w:lineRule="auto"/>
              <w:rPr>
                <w:rFonts w:cs="Arial"/>
                <w:sz w:val="20"/>
                <w:szCs w:val="20"/>
              </w:rPr>
            </w:pPr>
            <w:hyperlink r:id="rId13" w:history="1">
              <w:r w:rsidR="007A367E">
                <w:rPr>
                  <w:rStyle w:val="Hyperlink"/>
                  <w:sz w:val="20"/>
                </w:rPr>
                <w:t>poestgens@heidenhain.de</w:t>
              </w:r>
            </w:hyperlink>
          </w:p>
        </w:tc>
      </w:tr>
    </w:tbl>
    <w:p w14:paraId="7BBD47D7" w14:textId="77777777" w:rsidR="00696528" w:rsidRDefault="00696528" w:rsidP="006C22A5">
      <w:pPr>
        <w:autoSpaceDE w:val="0"/>
        <w:autoSpaceDN w:val="0"/>
        <w:adjustRightInd w:val="0"/>
        <w:spacing w:line="276" w:lineRule="auto"/>
        <w:rPr>
          <w:rFonts w:cs="Arial"/>
          <w:sz w:val="20"/>
          <w:szCs w:val="20"/>
        </w:rPr>
      </w:pPr>
    </w:p>
    <w:sectPr w:rsidR="00696528" w:rsidSect="00A32B93">
      <w:headerReference w:type="default" r:id="rId14"/>
      <w:footerReference w:type="default" r:id="rId15"/>
      <w:pgSz w:w="11907" w:h="16840" w:code="9"/>
      <w:pgMar w:top="1418" w:right="1418" w:bottom="1021"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FE55" w14:textId="77777777" w:rsidR="00F0776A" w:rsidRDefault="00F0776A" w:rsidP="0091430D">
      <w:r>
        <w:separator/>
      </w:r>
    </w:p>
  </w:endnote>
  <w:endnote w:type="continuationSeparator" w:id="0">
    <w:p w14:paraId="56D85DF7" w14:textId="77777777" w:rsidR="00F0776A" w:rsidRDefault="00F0776A"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0C6C" w14:textId="77777777" w:rsidR="005D5128" w:rsidRDefault="005D5128" w:rsidP="003D4CB9">
    <w:pPr>
      <w:pStyle w:val="Fuzeile"/>
      <w:tabs>
        <w:tab w:val="clear" w:pos="4536"/>
      </w:tabs>
      <w:rPr>
        <w:sz w:val="20"/>
      </w:rPr>
    </w:pPr>
  </w:p>
  <w:p w14:paraId="0DE65019" w14:textId="320E1146" w:rsidR="003D4CB9" w:rsidRPr="00F432DE" w:rsidRDefault="000428B9" w:rsidP="003D4CB9">
    <w:pPr>
      <w:pStyle w:val="Fuzeile"/>
      <w:tabs>
        <w:tab w:val="clear" w:pos="4536"/>
      </w:tabs>
      <w:rPr>
        <w:sz w:val="20"/>
      </w:rPr>
    </w:pPr>
    <w:r>
      <w:rPr>
        <w:sz w:val="20"/>
      </w:rPr>
      <w:t>September 2023</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CDAE" w14:textId="77777777" w:rsidR="00F0776A" w:rsidRDefault="00F0776A" w:rsidP="0091430D">
      <w:r>
        <w:separator/>
      </w:r>
    </w:p>
  </w:footnote>
  <w:footnote w:type="continuationSeparator" w:id="0">
    <w:p w14:paraId="53EEAADB" w14:textId="77777777" w:rsidR="00F0776A" w:rsidRDefault="00F0776A"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 Release</w:t>
    </w:r>
    <w:r>
      <w:rPr>
        <w:b/>
      </w:rPr>
      <w:tab/>
    </w:r>
    <w:r>
      <w:rPr>
        <w:b/>
      </w:rPr>
      <w:tab/>
    </w:r>
    <w:r>
      <w:rPr>
        <w:noProof/>
      </w:rPr>
      <w:drawing>
        <wp:inline distT="0" distB="0" distL="0" distR="0" wp14:anchorId="600BE8E4" wp14:editId="43F24DCB">
          <wp:extent cx="1627505" cy="194310"/>
          <wp:effectExtent l="19050" t="0" r="0" b="0"/>
          <wp:docPr id="11" name="Grafik 1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DF3B51"/>
    <w:multiLevelType w:val="hybridMultilevel"/>
    <w:tmpl w:val="AFDC22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3"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3"/>
  </w:num>
  <w:num w:numId="2" w16cid:durableId="537157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2"/>
  </w:num>
  <w:num w:numId="4" w16cid:durableId="31659957">
    <w:abstractNumId w:val="0"/>
  </w:num>
  <w:num w:numId="5" w16cid:durableId="169345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53C5"/>
    <w:rsid w:val="000127D1"/>
    <w:rsid w:val="00020177"/>
    <w:rsid w:val="000229C0"/>
    <w:rsid w:val="00025E64"/>
    <w:rsid w:val="00026B4D"/>
    <w:rsid w:val="0003003E"/>
    <w:rsid w:val="0003362B"/>
    <w:rsid w:val="000372B6"/>
    <w:rsid w:val="000428B9"/>
    <w:rsid w:val="00045130"/>
    <w:rsid w:val="00046798"/>
    <w:rsid w:val="00046E42"/>
    <w:rsid w:val="0005391D"/>
    <w:rsid w:val="00061D94"/>
    <w:rsid w:val="00075EE6"/>
    <w:rsid w:val="00084A5C"/>
    <w:rsid w:val="00090766"/>
    <w:rsid w:val="000918CA"/>
    <w:rsid w:val="00095AF8"/>
    <w:rsid w:val="000B02AE"/>
    <w:rsid w:val="000C3F0E"/>
    <w:rsid w:val="000C66E8"/>
    <w:rsid w:val="000E63B0"/>
    <w:rsid w:val="000E696D"/>
    <w:rsid w:val="000F6355"/>
    <w:rsid w:val="00106AEA"/>
    <w:rsid w:val="001076B5"/>
    <w:rsid w:val="00131C21"/>
    <w:rsid w:val="001343DE"/>
    <w:rsid w:val="00152261"/>
    <w:rsid w:val="00167401"/>
    <w:rsid w:val="00167708"/>
    <w:rsid w:val="001814BA"/>
    <w:rsid w:val="00183B00"/>
    <w:rsid w:val="00186AAD"/>
    <w:rsid w:val="001938A0"/>
    <w:rsid w:val="00196372"/>
    <w:rsid w:val="001A4344"/>
    <w:rsid w:val="001A68BD"/>
    <w:rsid w:val="001B6D6B"/>
    <w:rsid w:val="001B7062"/>
    <w:rsid w:val="001E7E8E"/>
    <w:rsid w:val="002110ED"/>
    <w:rsid w:val="00212759"/>
    <w:rsid w:val="002445A6"/>
    <w:rsid w:val="00263D2D"/>
    <w:rsid w:val="002667D8"/>
    <w:rsid w:val="00274423"/>
    <w:rsid w:val="00274FE0"/>
    <w:rsid w:val="00281C45"/>
    <w:rsid w:val="00283405"/>
    <w:rsid w:val="0028442E"/>
    <w:rsid w:val="00285476"/>
    <w:rsid w:val="00290658"/>
    <w:rsid w:val="002A4DA5"/>
    <w:rsid w:val="002B4166"/>
    <w:rsid w:val="002B5943"/>
    <w:rsid w:val="002C0B35"/>
    <w:rsid w:val="002C345D"/>
    <w:rsid w:val="002D39CF"/>
    <w:rsid w:val="002D51E3"/>
    <w:rsid w:val="003150E3"/>
    <w:rsid w:val="00317BD4"/>
    <w:rsid w:val="00324786"/>
    <w:rsid w:val="003257D4"/>
    <w:rsid w:val="003259E8"/>
    <w:rsid w:val="003261A3"/>
    <w:rsid w:val="003263E6"/>
    <w:rsid w:val="00334FD7"/>
    <w:rsid w:val="00335013"/>
    <w:rsid w:val="00337139"/>
    <w:rsid w:val="0034317A"/>
    <w:rsid w:val="00351F66"/>
    <w:rsid w:val="0035525C"/>
    <w:rsid w:val="003555A6"/>
    <w:rsid w:val="003566B6"/>
    <w:rsid w:val="00375378"/>
    <w:rsid w:val="003754AA"/>
    <w:rsid w:val="00377391"/>
    <w:rsid w:val="0038307A"/>
    <w:rsid w:val="0038317E"/>
    <w:rsid w:val="003866E3"/>
    <w:rsid w:val="0039200C"/>
    <w:rsid w:val="003B2AD8"/>
    <w:rsid w:val="003B6E84"/>
    <w:rsid w:val="003C11A0"/>
    <w:rsid w:val="003C1F14"/>
    <w:rsid w:val="003D4CB9"/>
    <w:rsid w:val="003D69AD"/>
    <w:rsid w:val="003D7E41"/>
    <w:rsid w:val="003E0B6D"/>
    <w:rsid w:val="003E417B"/>
    <w:rsid w:val="003F0B65"/>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92A81"/>
    <w:rsid w:val="004A010A"/>
    <w:rsid w:val="004A2E44"/>
    <w:rsid w:val="004A57F3"/>
    <w:rsid w:val="004A605C"/>
    <w:rsid w:val="004B3D68"/>
    <w:rsid w:val="004C3052"/>
    <w:rsid w:val="004C51D5"/>
    <w:rsid w:val="004D114D"/>
    <w:rsid w:val="004D3DA1"/>
    <w:rsid w:val="004D719F"/>
    <w:rsid w:val="004E0C73"/>
    <w:rsid w:val="004E0D31"/>
    <w:rsid w:val="004E5E1B"/>
    <w:rsid w:val="004F0053"/>
    <w:rsid w:val="004F226A"/>
    <w:rsid w:val="004F6CE3"/>
    <w:rsid w:val="00513EC7"/>
    <w:rsid w:val="00513EF3"/>
    <w:rsid w:val="005153F0"/>
    <w:rsid w:val="00521B4C"/>
    <w:rsid w:val="0053234F"/>
    <w:rsid w:val="0053604F"/>
    <w:rsid w:val="005516FA"/>
    <w:rsid w:val="00553441"/>
    <w:rsid w:val="00553901"/>
    <w:rsid w:val="00560B58"/>
    <w:rsid w:val="005821E1"/>
    <w:rsid w:val="00586C01"/>
    <w:rsid w:val="005915F6"/>
    <w:rsid w:val="00593634"/>
    <w:rsid w:val="00595438"/>
    <w:rsid w:val="005A1218"/>
    <w:rsid w:val="005A29AD"/>
    <w:rsid w:val="005B152F"/>
    <w:rsid w:val="005B3F5F"/>
    <w:rsid w:val="005B4D50"/>
    <w:rsid w:val="005B5DBD"/>
    <w:rsid w:val="005C170F"/>
    <w:rsid w:val="005C7C77"/>
    <w:rsid w:val="005D0700"/>
    <w:rsid w:val="005D5128"/>
    <w:rsid w:val="005E2BFB"/>
    <w:rsid w:val="005F2AF0"/>
    <w:rsid w:val="005F69A7"/>
    <w:rsid w:val="00616166"/>
    <w:rsid w:val="00626D63"/>
    <w:rsid w:val="006355EE"/>
    <w:rsid w:val="00635D3B"/>
    <w:rsid w:val="00643ACC"/>
    <w:rsid w:val="00650E4D"/>
    <w:rsid w:val="00652C63"/>
    <w:rsid w:val="006577EB"/>
    <w:rsid w:val="00661039"/>
    <w:rsid w:val="00696528"/>
    <w:rsid w:val="006B23F0"/>
    <w:rsid w:val="006B3CB1"/>
    <w:rsid w:val="006B3D39"/>
    <w:rsid w:val="006B4F68"/>
    <w:rsid w:val="006C0084"/>
    <w:rsid w:val="006C22A5"/>
    <w:rsid w:val="006C641E"/>
    <w:rsid w:val="006D1007"/>
    <w:rsid w:val="006D3EBC"/>
    <w:rsid w:val="006D4E4B"/>
    <w:rsid w:val="006E1F8C"/>
    <w:rsid w:val="006E4066"/>
    <w:rsid w:val="006F3E0F"/>
    <w:rsid w:val="006F41B7"/>
    <w:rsid w:val="006F4F9C"/>
    <w:rsid w:val="00706824"/>
    <w:rsid w:val="00744603"/>
    <w:rsid w:val="00750D1A"/>
    <w:rsid w:val="00756EE4"/>
    <w:rsid w:val="00771DB3"/>
    <w:rsid w:val="00773D62"/>
    <w:rsid w:val="0078495B"/>
    <w:rsid w:val="00790BE4"/>
    <w:rsid w:val="0079517F"/>
    <w:rsid w:val="007956E2"/>
    <w:rsid w:val="0079650B"/>
    <w:rsid w:val="00796ECD"/>
    <w:rsid w:val="00796FDF"/>
    <w:rsid w:val="007A367E"/>
    <w:rsid w:val="007A4345"/>
    <w:rsid w:val="007A4F06"/>
    <w:rsid w:val="007C1A90"/>
    <w:rsid w:val="007C3C36"/>
    <w:rsid w:val="007C4DC3"/>
    <w:rsid w:val="007C7E21"/>
    <w:rsid w:val="007D3C6C"/>
    <w:rsid w:val="007D51FD"/>
    <w:rsid w:val="007E0104"/>
    <w:rsid w:val="007F7AE1"/>
    <w:rsid w:val="00802E48"/>
    <w:rsid w:val="00806A90"/>
    <w:rsid w:val="00814F20"/>
    <w:rsid w:val="00822665"/>
    <w:rsid w:val="00835EA9"/>
    <w:rsid w:val="008407A8"/>
    <w:rsid w:val="00843288"/>
    <w:rsid w:val="008500A1"/>
    <w:rsid w:val="008518F6"/>
    <w:rsid w:val="008603F3"/>
    <w:rsid w:val="00865838"/>
    <w:rsid w:val="00866D02"/>
    <w:rsid w:val="0088056E"/>
    <w:rsid w:val="008806CC"/>
    <w:rsid w:val="008808DE"/>
    <w:rsid w:val="008871B4"/>
    <w:rsid w:val="008915F3"/>
    <w:rsid w:val="00896AD5"/>
    <w:rsid w:val="008A6540"/>
    <w:rsid w:val="008A68D9"/>
    <w:rsid w:val="008E17E1"/>
    <w:rsid w:val="008E584F"/>
    <w:rsid w:val="008E6A48"/>
    <w:rsid w:val="008F402C"/>
    <w:rsid w:val="00904E51"/>
    <w:rsid w:val="00913BE7"/>
    <w:rsid w:val="0091430D"/>
    <w:rsid w:val="00915EFB"/>
    <w:rsid w:val="009169C2"/>
    <w:rsid w:val="00921FB5"/>
    <w:rsid w:val="009245BA"/>
    <w:rsid w:val="0093634C"/>
    <w:rsid w:val="00942DD4"/>
    <w:rsid w:val="00942F78"/>
    <w:rsid w:val="009442FE"/>
    <w:rsid w:val="00951569"/>
    <w:rsid w:val="00952826"/>
    <w:rsid w:val="00952CA1"/>
    <w:rsid w:val="0095347A"/>
    <w:rsid w:val="0096312C"/>
    <w:rsid w:val="00963479"/>
    <w:rsid w:val="00964FC8"/>
    <w:rsid w:val="009733AE"/>
    <w:rsid w:val="00975A0B"/>
    <w:rsid w:val="00982189"/>
    <w:rsid w:val="00982455"/>
    <w:rsid w:val="009A7518"/>
    <w:rsid w:val="009B379B"/>
    <w:rsid w:val="009B67F1"/>
    <w:rsid w:val="009C6BF8"/>
    <w:rsid w:val="009D15B9"/>
    <w:rsid w:val="009D5CDA"/>
    <w:rsid w:val="00A229D7"/>
    <w:rsid w:val="00A26F2B"/>
    <w:rsid w:val="00A324BC"/>
    <w:rsid w:val="00A32B93"/>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34422"/>
    <w:rsid w:val="00B56CC6"/>
    <w:rsid w:val="00B62AB4"/>
    <w:rsid w:val="00B64F03"/>
    <w:rsid w:val="00B6511B"/>
    <w:rsid w:val="00B65E49"/>
    <w:rsid w:val="00B92F2C"/>
    <w:rsid w:val="00BA0749"/>
    <w:rsid w:val="00BA0BD4"/>
    <w:rsid w:val="00BA426A"/>
    <w:rsid w:val="00BA48BF"/>
    <w:rsid w:val="00BA5ADE"/>
    <w:rsid w:val="00BB0A2B"/>
    <w:rsid w:val="00BB1CBB"/>
    <w:rsid w:val="00BB6E04"/>
    <w:rsid w:val="00BB755F"/>
    <w:rsid w:val="00BC152E"/>
    <w:rsid w:val="00BD0A7A"/>
    <w:rsid w:val="00BD1D5C"/>
    <w:rsid w:val="00BE2B95"/>
    <w:rsid w:val="00BF340B"/>
    <w:rsid w:val="00BF4098"/>
    <w:rsid w:val="00BF47F6"/>
    <w:rsid w:val="00C061BC"/>
    <w:rsid w:val="00C0743C"/>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1B94"/>
    <w:rsid w:val="00C96C4D"/>
    <w:rsid w:val="00CA2992"/>
    <w:rsid w:val="00CA3A20"/>
    <w:rsid w:val="00CA7BFB"/>
    <w:rsid w:val="00CB03FD"/>
    <w:rsid w:val="00CB1992"/>
    <w:rsid w:val="00CB2B90"/>
    <w:rsid w:val="00CB32EC"/>
    <w:rsid w:val="00CC6DF0"/>
    <w:rsid w:val="00CD4796"/>
    <w:rsid w:val="00CD71D4"/>
    <w:rsid w:val="00CE6C7B"/>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87B41"/>
    <w:rsid w:val="00D93E00"/>
    <w:rsid w:val="00D9586D"/>
    <w:rsid w:val="00D96114"/>
    <w:rsid w:val="00DA1D6D"/>
    <w:rsid w:val="00DA3853"/>
    <w:rsid w:val="00DE36FF"/>
    <w:rsid w:val="00DE5C0A"/>
    <w:rsid w:val="00E0208A"/>
    <w:rsid w:val="00E0475C"/>
    <w:rsid w:val="00E06DD0"/>
    <w:rsid w:val="00E22AC1"/>
    <w:rsid w:val="00E2679F"/>
    <w:rsid w:val="00E302A0"/>
    <w:rsid w:val="00E32A68"/>
    <w:rsid w:val="00E4331D"/>
    <w:rsid w:val="00E43981"/>
    <w:rsid w:val="00E54940"/>
    <w:rsid w:val="00E80B0E"/>
    <w:rsid w:val="00E82990"/>
    <w:rsid w:val="00E854C5"/>
    <w:rsid w:val="00E87DA6"/>
    <w:rsid w:val="00E90578"/>
    <w:rsid w:val="00E91F1B"/>
    <w:rsid w:val="00E951C2"/>
    <w:rsid w:val="00E97915"/>
    <w:rsid w:val="00EA0DB8"/>
    <w:rsid w:val="00EA5046"/>
    <w:rsid w:val="00EC47D1"/>
    <w:rsid w:val="00ED049A"/>
    <w:rsid w:val="00ED0F55"/>
    <w:rsid w:val="00ED2BF2"/>
    <w:rsid w:val="00F070B5"/>
    <w:rsid w:val="00F0776A"/>
    <w:rsid w:val="00F1013B"/>
    <w:rsid w:val="00F14D45"/>
    <w:rsid w:val="00F23403"/>
    <w:rsid w:val="00F24B38"/>
    <w:rsid w:val="00F2757E"/>
    <w:rsid w:val="00F310C4"/>
    <w:rsid w:val="00F31938"/>
    <w:rsid w:val="00F3776E"/>
    <w:rsid w:val="00F432DE"/>
    <w:rsid w:val="00F438BA"/>
    <w:rsid w:val="00F51356"/>
    <w:rsid w:val="00F60FF8"/>
    <w:rsid w:val="00F7462B"/>
    <w:rsid w:val="00F7592E"/>
    <w:rsid w:val="00F76A7E"/>
    <w:rsid w:val="00F7761E"/>
    <w:rsid w:val="00F84138"/>
    <w:rsid w:val="00F84761"/>
    <w:rsid w:val="00F91323"/>
    <w:rsid w:val="00F92845"/>
    <w:rsid w:val="00F93C3C"/>
    <w:rsid w:val="00F9724F"/>
    <w:rsid w:val="00FB090D"/>
    <w:rsid w:val="00FB5B37"/>
    <w:rsid w:val="00FC07F4"/>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unhideWhenUsed/>
    <w:rsid w:val="00274FE0"/>
    <w:rPr>
      <w:sz w:val="20"/>
      <w:szCs w:val="20"/>
    </w:rPr>
  </w:style>
  <w:style w:type="character" w:customStyle="1" w:styleId="KommentartextZchn">
    <w:name w:val="Kommentartext Zchn"/>
    <w:basedOn w:val="Absatz-Standardschriftart"/>
    <w:link w:val="Kommentartext"/>
    <w:uiPriority w:val="99"/>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 w:type="paragraph" w:styleId="berarbeitung">
    <w:name w:val="Revision"/>
    <w:hidden/>
    <w:uiPriority w:val="99"/>
    <w:semiHidden/>
    <w:rsid w:val="00BB0A2B"/>
    <w:rPr>
      <w:rFonts w:ascii="Arial" w:hAnsi="Arial"/>
      <w:sz w:val="22"/>
      <w:szCs w:val="22"/>
      <w:lang w:eastAsia="en-US"/>
    </w:rPr>
  </w:style>
  <w:style w:type="character" w:styleId="NichtaufgelsteErwhnung">
    <w:name w:val="Unresolved Mention"/>
    <w:basedOn w:val="Absatz-Standardschriftart"/>
    <w:uiPriority w:val="99"/>
    <w:semiHidden/>
    <w:unhideWhenUsed/>
    <w:rsid w:val="007C3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581">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203297733">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506558476">
      <w:bodyDiv w:val="1"/>
      <w:marLeft w:val="0"/>
      <w:marRight w:val="0"/>
      <w:marTop w:val="0"/>
      <w:marBottom w:val="0"/>
      <w:divBdr>
        <w:top w:val="none" w:sz="0" w:space="0" w:color="auto"/>
        <w:left w:val="none" w:sz="0" w:space="0" w:color="auto"/>
        <w:bottom w:val="none" w:sz="0" w:space="0" w:color="auto"/>
        <w:right w:val="none" w:sz="0" w:space="0" w:color="auto"/>
      </w:divBdr>
    </w:div>
    <w:div w:id="632364619">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919414070">
      <w:bodyDiv w:val="1"/>
      <w:marLeft w:val="0"/>
      <w:marRight w:val="0"/>
      <w:marTop w:val="0"/>
      <w:marBottom w:val="0"/>
      <w:divBdr>
        <w:top w:val="none" w:sz="0" w:space="0" w:color="auto"/>
        <w:left w:val="none" w:sz="0" w:space="0" w:color="auto"/>
        <w:bottom w:val="none" w:sz="0" w:space="0" w:color="auto"/>
        <w:right w:val="none" w:sz="0" w:space="0" w:color="auto"/>
      </w:divBdr>
    </w:div>
    <w:div w:id="1260261624">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7556955">
      <w:bodyDiv w:val="1"/>
      <w:marLeft w:val="0"/>
      <w:marRight w:val="0"/>
      <w:marTop w:val="0"/>
      <w:marBottom w:val="0"/>
      <w:divBdr>
        <w:top w:val="none" w:sz="0" w:space="0" w:color="auto"/>
        <w:left w:val="none" w:sz="0" w:space="0" w:color="auto"/>
        <w:bottom w:val="none" w:sz="0" w:space="0" w:color="auto"/>
        <w:right w:val="none" w:sz="0" w:space="0" w:color="auto"/>
      </w:divBdr>
    </w:div>
    <w:div w:id="1368602766">
      <w:bodyDiv w:val="1"/>
      <w:marLeft w:val="0"/>
      <w:marRight w:val="0"/>
      <w:marTop w:val="0"/>
      <w:marBottom w:val="0"/>
      <w:divBdr>
        <w:top w:val="none" w:sz="0" w:space="0" w:color="auto"/>
        <w:left w:val="none" w:sz="0" w:space="0" w:color="auto"/>
        <w:bottom w:val="none" w:sz="0" w:space="0" w:color="auto"/>
        <w:right w:val="none" w:sz="0" w:space="0" w:color="auto"/>
      </w:divBdr>
    </w:div>
    <w:div w:id="1546987411">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estgens@heidenha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thmann@heidenhain.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idenha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ve.heidenhain.com/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975</Words>
  <Characters>6144</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DR. JOHANNES HEIDENHAIN GmbH</Company>
  <LinksUpToDate>false</LinksUpToDate>
  <CharactersWithSpaces>7105</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Muthmann Frank</cp:lastModifiedBy>
  <cp:revision>5</cp:revision>
  <cp:lastPrinted>2022-08-30T09:05:00Z</cp:lastPrinted>
  <dcterms:created xsi:type="dcterms:W3CDTF">2023-09-15T07:54:00Z</dcterms:created>
  <dcterms:modified xsi:type="dcterms:W3CDTF">2023-09-18T13:34:00Z</dcterms:modified>
</cp:coreProperties>
</file>